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363199" w:rsidRPr="009A3EDE" w:rsidTr="009A3EDE">
        <w:trPr>
          <w:trHeight w:val="360"/>
          <w:jc w:val="center"/>
        </w:trPr>
        <w:tc>
          <w:tcPr>
            <w:tcW w:w="9365" w:type="dxa"/>
            <w:hideMark/>
          </w:tcPr>
          <w:p w:rsidR="00363199" w:rsidRPr="009A3EDE" w:rsidRDefault="00850422" w:rsidP="009A3EDE">
            <w:pPr>
              <w:suppressLineNumbers/>
              <w:spacing w:after="120"/>
              <w:ind w:left="319"/>
              <w:rPr>
                <w:b/>
                <w:bCs/>
                <w:sz w:val="26"/>
                <w:szCs w:val="26"/>
              </w:rPr>
            </w:pPr>
            <w:bookmarkStart w:id="0" w:name="_GoBack"/>
            <w:bookmarkEnd w:id="0"/>
            <w:r w:rsidRPr="009A3EDE">
              <w:rPr>
                <w:rFonts w:hint="cs"/>
                <w:b/>
                <w:bCs/>
                <w:sz w:val="26"/>
                <w:szCs w:val="26"/>
                <w:rtl/>
              </w:rPr>
              <w:t>לפני הרכב כבוד השופטים:</w:t>
            </w:r>
          </w:p>
          <w:p w:rsidR="00363199" w:rsidRPr="009A3EDE" w:rsidRDefault="00850422" w:rsidP="009A3EDE">
            <w:pPr>
              <w:suppressLineNumbers/>
              <w:spacing w:after="120"/>
              <w:ind w:left="319"/>
              <w:rPr>
                <w:b/>
                <w:bCs/>
                <w:sz w:val="26"/>
                <w:szCs w:val="26"/>
                <w:rtl/>
              </w:rPr>
            </w:pPr>
            <w:r w:rsidRPr="009A3EDE">
              <w:rPr>
                <w:rFonts w:hint="cs"/>
                <w:b/>
                <w:bCs/>
                <w:sz w:val="26"/>
                <w:szCs w:val="26"/>
                <w:rtl/>
              </w:rPr>
              <w:t>חננאל שרעבי [אב"ד]</w:t>
            </w:r>
          </w:p>
          <w:p w:rsidR="00363199" w:rsidRPr="009A3EDE" w:rsidRDefault="00850422" w:rsidP="009A3EDE">
            <w:pPr>
              <w:suppressLineNumbers/>
              <w:spacing w:after="120"/>
              <w:ind w:left="319"/>
              <w:rPr>
                <w:b/>
                <w:bCs/>
                <w:sz w:val="26"/>
                <w:szCs w:val="26"/>
                <w:rtl/>
              </w:rPr>
            </w:pPr>
            <w:r w:rsidRPr="009A3EDE">
              <w:rPr>
                <w:rFonts w:hint="cs"/>
                <w:b/>
                <w:bCs/>
                <w:sz w:val="26"/>
                <w:szCs w:val="26"/>
                <w:rtl/>
              </w:rPr>
              <w:t>אספרנצה אלון</w:t>
            </w:r>
          </w:p>
          <w:p w:rsidR="00363199" w:rsidRPr="009A3EDE" w:rsidRDefault="007833AD" w:rsidP="009A3EDE">
            <w:pPr>
              <w:suppressLineNumbers/>
              <w:spacing w:after="120"/>
              <w:ind w:left="319"/>
              <w:rPr>
                <w:b/>
                <w:bCs/>
                <w:sz w:val="26"/>
                <w:szCs w:val="26"/>
                <w:rtl/>
              </w:rPr>
            </w:pPr>
            <w:sdt>
              <w:sdtPr>
                <w:rPr>
                  <w:rFonts w:hint="cs"/>
                  <w:sz w:val="26"/>
                  <w:szCs w:val="26"/>
                  <w:rtl/>
                </w:rPr>
                <w:alias w:val="165"/>
                <w:tag w:val="165"/>
                <w:id w:val="584732177"/>
                <w:text w:multiLine="1"/>
              </w:sdtPr>
              <w:sdtEndPr/>
              <w:sdtContent>
                <w:r w:rsidR="00850422" w:rsidRPr="009A3EDE">
                  <w:rPr>
                    <w:rFonts w:hint="cs"/>
                    <w:b/>
                    <w:bCs/>
                    <w:sz w:val="26"/>
                    <w:szCs w:val="26"/>
                    <w:rtl/>
                  </w:rPr>
                  <w:t>אריה נאמן</w:t>
                </w:r>
              </w:sdtContent>
            </w:sdt>
          </w:p>
        </w:tc>
      </w:tr>
    </w:tbl>
    <w:tbl>
      <w:tblPr>
        <w:tblStyle w:val="a9"/>
        <w:bidiVisual/>
        <w:tblW w:w="8478" w:type="dxa"/>
        <w:tblInd w:w="1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41"/>
        <w:gridCol w:w="5737"/>
      </w:tblGrid>
      <w:tr w:rsidR="00363199" w:rsidTr="009A3EDE">
        <w:tc>
          <w:tcPr>
            <w:tcW w:w="2741" w:type="dxa"/>
          </w:tcPr>
          <w:p w:rsidR="00363199" w:rsidRDefault="007833AD">
            <w:pPr>
              <w:suppressLineNumbers/>
              <w:rPr>
                <w:rFonts w:ascii="David" w:eastAsia="David" w:hAnsi="David"/>
                <w:b/>
                <w:bCs/>
                <w:rtl/>
              </w:rPr>
            </w:pPr>
          </w:p>
          <w:p w:rsidR="009A3EDE" w:rsidRDefault="009A3EDE">
            <w:pPr>
              <w:suppressLineNumbers/>
              <w:rPr>
                <w:rFonts w:ascii="David" w:eastAsia="David" w:hAnsi="David"/>
                <w:b/>
                <w:bCs/>
              </w:rPr>
            </w:pPr>
          </w:p>
          <w:p w:rsidR="00363199" w:rsidRDefault="00850422">
            <w:pPr>
              <w:suppressLineNumbers/>
              <w:rPr>
                <w:rFonts w:ascii="David" w:eastAsia="David" w:hAnsi="David"/>
                <w:b/>
                <w:bCs/>
                <w:rtl/>
              </w:rPr>
            </w:pPr>
            <w:r w:rsidRPr="009A3EDE">
              <w:rPr>
                <w:rFonts w:ascii="David" w:eastAsia="David" w:hAnsi="David" w:hint="cs"/>
                <w:b/>
                <w:bCs/>
                <w:sz w:val="26"/>
                <w:szCs w:val="26"/>
                <w:rtl/>
              </w:rPr>
              <w:t>ה</w:t>
            </w:r>
            <w:sdt>
              <w:sdtPr>
                <w:rPr>
                  <w:b/>
                  <w:bCs/>
                  <w:sz w:val="26"/>
                  <w:szCs w:val="26"/>
                  <w:rtl/>
                </w:rPr>
                <w:alias w:val="1264"/>
                <w:tag w:val="1264"/>
                <w:id w:val="748628538"/>
                <w:placeholder>
                  <w:docPart w:val="4CE6E243A18A49D3BE316F685E647A4D"/>
                </w:placeholder>
                <w:text w:multiLine="1"/>
              </w:sdtPr>
              <w:sdtEndPr/>
              <w:sdtContent>
                <w:r w:rsidRPr="009A3EDE">
                  <w:rPr>
                    <w:rFonts w:ascii="David" w:eastAsia="David" w:hAnsi="David"/>
                    <w:b/>
                    <w:bCs/>
                    <w:sz w:val="26"/>
                    <w:szCs w:val="26"/>
                    <w:rtl/>
                  </w:rPr>
                  <w:t>מערער</w:t>
                </w:r>
              </w:sdtContent>
            </w:sdt>
          </w:p>
        </w:tc>
        <w:tc>
          <w:tcPr>
            <w:tcW w:w="5734" w:type="dxa"/>
          </w:tcPr>
          <w:p w:rsidR="00363199" w:rsidRDefault="007833AD">
            <w:pPr>
              <w:suppressLineNumbers/>
              <w:rPr>
                <w:b/>
                <w:bCs/>
                <w:rtl/>
              </w:rPr>
            </w:pPr>
          </w:p>
          <w:p w:rsidR="009A3EDE" w:rsidRDefault="009A3EDE">
            <w:pPr>
              <w:suppressLineNumbers/>
              <w:rPr>
                <w:b/>
                <w:bCs/>
                <w:rtl/>
              </w:rPr>
            </w:pPr>
          </w:p>
          <w:p w:rsidR="00363199" w:rsidRDefault="00A466CC" w:rsidP="00A466CC">
            <w:pPr>
              <w:suppressLineNumbers/>
              <w:spacing w:after="120"/>
              <w:rPr>
                <w:rtl/>
              </w:rPr>
            </w:pPr>
            <w:r>
              <w:rPr>
                <w:rFonts w:ascii="David" w:eastAsia="David" w:hAnsi="David" w:hint="cs"/>
                <w:b/>
                <w:bCs/>
                <w:sz w:val="26"/>
                <w:szCs w:val="26"/>
                <w:rtl/>
              </w:rPr>
              <w:t>ב. ר</w:t>
            </w:r>
            <w:r w:rsidR="00850422">
              <w:rPr>
                <w:rFonts w:hint="cs"/>
                <w:b/>
                <w:bCs/>
                <w:rtl/>
              </w:rPr>
              <w:t xml:space="preserve"> </w:t>
            </w:r>
          </w:p>
          <w:p w:rsidR="00363199" w:rsidRDefault="009A3EDE" w:rsidP="009A3EDE">
            <w:pPr>
              <w:suppressLineNumbers/>
              <w:spacing w:after="120"/>
              <w:rPr>
                <w:rFonts w:ascii="David" w:eastAsia="David" w:hAnsi="David"/>
                <w:b/>
                <w:bCs/>
              </w:rPr>
            </w:pPr>
            <w:r w:rsidRPr="008C1981">
              <w:rPr>
                <w:rFonts w:ascii="David" w:hAnsi="David"/>
                <w:b/>
                <w:bCs/>
                <w:sz w:val="26"/>
                <w:szCs w:val="26"/>
                <w:rtl/>
              </w:rPr>
              <w:t>ע"י ב"כ עו"ד מירב כהן</w:t>
            </w:r>
          </w:p>
        </w:tc>
      </w:tr>
      <w:tr w:rsidR="00363199" w:rsidTr="009A3EDE">
        <w:tc>
          <w:tcPr>
            <w:tcW w:w="8478" w:type="dxa"/>
            <w:gridSpan w:val="2"/>
          </w:tcPr>
          <w:p w:rsidR="00363199" w:rsidRDefault="007833AD">
            <w:pPr>
              <w:suppressLineNumbers/>
              <w:rPr>
                <w:rFonts w:ascii="David" w:eastAsia="David" w:hAnsi="David"/>
                <w:b/>
                <w:bCs/>
                <w:rtl/>
              </w:rPr>
            </w:pPr>
          </w:p>
          <w:p w:rsidR="00363199" w:rsidRPr="009A3EDE" w:rsidRDefault="00850422">
            <w:pPr>
              <w:suppressLineNumbers/>
              <w:jc w:val="center"/>
              <w:rPr>
                <w:rFonts w:ascii="David" w:eastAsia="David" w:hAnsi="David"/>
                <w:b/>
                <w:bCs/>
                <w:sz w:val="26"/>
                <w:szCs w:val="26"/>
                <w:rtl/>
              </w:rPr>
            </w:pPr>
            <w:r w:rsidRPr="009A3EDE">
              <w:rPr>
                <w:rFonts w:ascii="David" w:eastAsia="David" w:hAnsi="David" w:hint="cs"/>
                <w:b/>
                <w:bCs/>
                <w:sz w:val="26"/>
                <w:szCs w:val="26"/>
                <w:rtl/>
              </w:rPr>
              <w:t>נגד</w:t>
            </w:r>
          </w:p>
          <w:p w:rsidR="009A3EDE" w:rsidRDefault="009A3EDE">
            <w:pPr>
              <w:suppressLineNumbers/>
              <w:jc w:val="center"/>
              <w:rPr>
                <w:rFonts w:ascii="David" w:eastAsia="David" w:hAnsi="David"/>
                <w:b/>
                <w:bCs/>
                <w:rtl/>
              </w:rPr>
            </w:pPr>
          </w:p>
          <w:p w:rsidR="00363199" w:rsidRDefault="007833AD">
            <w:pPr>
              <w:suppressLineNumbers/>
              <w:rPr>
                <w:rFonts w:ascii="David" w:eastAsia="David" w:hAnsi="David"/>
                <w:b/>
                <w:bCs/>
                <w:rtl/>
              </w:rPr>
            </w:pPr>
          </w:p>
        </w:tc>
      </w:tr>
      <w:tr w:rsidR="00363199" w:rsidTr="009A3EDE">
        <w:trPr>
          <w:trHeight w:val="740"/>
        </w:trPr>
        <w:tc>
          <w:tcPr>
            <w:tcW w:w="2741" w:type="dxa"/>
            <w:hideMark/>
          </w:tcPr>
          <w:p w:rsidR="00363199" w:rsidRDefault="00850422">
            <w:pPr>
              <w:suppressLineNumbers/>
              <w:rPr>
                <w:rFonts w:ascii="David" w:eastAsia="David" w:hAnsi="David"/>
                <w:b/>
                <w:bCs/>
                <w:rtl/>
              </w:rPr>
            </w:pPr>
            <w:r w:rsidRPr="009A3EDE">
              <w:rPr>
                <w:rFonts w:ascii="David" w:eastAsia="David" w:hAnsi="David" w:hint="cs"/>
                <w:b/>
                <w:bCs/>
                <w:sz w:val="26"/>
                <w:szCs w:val="26"/>
                <w:rtl/>
              </w:rPr>
              <w:t>ה</w:t>
            </w:r>
            <w:sdt>
              <w:sdtPr>
                <w:rPr>
                  <w:b/>
                  <w:bCs/>
                  <w:sz w:val="26"/>
                  <w:szCs w:val="26"/>
                  <w:rtl/>
                </w:rPr>
                <w:alias w:val="1265"/>
                <w:tag w:val="1265"/>
                <w:id w:val="15438151"/>
                <w:text/>
              </w:sdtPr>
              <w:sdtEndPr/>
              <w:sdtContent>
                <w:r w:rsidRPr="009A3EDE">
                  <w:rPr>
                    <w:rFonts w:ascii="David" w:eastAsia="David" w:hAnsi="David"/>
                    <w:b/>
                    <w:bCs/>
                    <w:sz w:val="26"/>
                    <w:szCs w:val="26"/>
                    <w:rtl/>
                  </w:rPr>
                  <w:t>משיבה</w:t>
                </w:r>
              </w:sdtContent>
            </w:sdt>
          </w:p>
        </w:tc>
        <w:tc>
          <w:tcPr>
            <w:tcW w:w="5734" w:type="dxa"/>
            <w:hideMark/>
          </w:tcPr>
          <w:p w:rsidR="009A3EDE" w:rsidRDefault="007833AD" w:rsidP="00A466CC">
            <w:pPr>
              <w:suppressLineNumbers/>
              <w:spacing w:after="120"/>
              <w:rPr>
                <w:b/>
                <w:bCs/>
                <w:rtl/>
              </w:rPr>
            </w:pPr>
            <w:sdt>
              <w:sdtPr>
                <w:rPr>
                  <w:b/>
                  <w:bCs/>
                  <w:sz w:val="26"/>
                  <w:szCs w:val="26"/>
                  <w:rtl/>
                </w:rPr>
                <w:alias w:val="1266"/>
                <w:tag w:val="1266"/>
                <w:id w:val="1865085449"/>
                <w:placeholder>
                  <w:docPart w:val="267A64F88E2544C8ACEF473322C98C1A"/>
                </w:placeholder>
                <w:text w:multiLine="1"/>
              </w:sdtPr>
              <w:sdtEndPr/>
              <w:sdtContent>
                <w:r w:rsidR="00A466CC">
                  <w:rPr>
                    <w:rFonts w:ascii="David" w:eastAsia="David" w:hAnsi="David"/>
                    <w:b/>
                    <w:bCs/>
                    <w:sz w:val="26"/>
                    <w:szCs w:val="26"/>
                    <w:rtl/>
                  </w:rPr>
                  <w:t>ל</w:t>
                </w:r>
                <w:r w:rsidR="00A466CC">
                  <w:rPr>
                    <w:rFonts w:ascii="David" w:eastAsia="David" w:hAnsi="David" w:hint="cs"/>
                    <w:b/>
                    <w:bCs/>
                    <w:sz w:val="26"/>
                    <w:szCs w:val="26"/>
                    <w:rtl/>
                  </w:rPr>
                  <w:t xml:space="preserve">. ס </w:t>
                </w:r>
              </w:sdtContent>
            </w:sdt>
            <w:r w:rsidR="00850422">
              <w:rPr>
                <w:rFonts w:hint="cs"/>
                <w:b/>
                <w:bCs/>
                <w:rtl/>
              </w:rPr>
              <w:t xml:space="preserve"> </w:t>
            </w:r>
          </w:p>
          <w:p w:rsidR="00363199" w:rsidRDefault="009A3EDE" w:rsidP="009A3EDE">
            <w:pPr>
              <w:suppressLineNumbers/>
              <w:rPr>
                <w:rFonts w:ascii="David" w:eastAsia="David" w:hAnsi="David"/>
                <w:b/>
                <w:bCs/>
                <w:rtl/>
              </w:rPr>
            </w:pPr>
            <w:r w:rsidRPr="008C1981">
              <w:rPr>
                <w:rFonts w:ascii="David" w:hAnsi="David"/>
                <w:b/>
                <w:bCs/>
                <w:sz w:val="26"/>
                <w:szCs w:val="26"/>
                <w:rtl/>
              </w:rPr>
              <w:t>ע"י ב"כ עו"ד מקסים ליפקין</w:t>
            </w:r>
            <w:r w:rsidR="00850422">
              <w:rPr>
                <w:rFonts w:hint="cs"/>
                <w:b/>
                <w:bCs/>
                <w:rtl/>
              </w:rPr>
              <w:t xml:space="preserve">  </w:t>
            </w:r>
          </w:p>
        </w:tc>
      </w:tr>
    </w:tbl>
    <w:p w:rsidR="00363199" w:rsidRDefault="007833AD" w:rsidP="00363199">
      <w:pPr>
        <w:suppressLineNumbers/>
        <w:rPr>
          <w:rFonts w:ascii="David" w:eastAsia="David" w:hAnsi="David"/>
          <w:b/>
          <w:bCs/>
          <w:rtl/>
        </w:rPr>
      </w:pPr>
    </w:p>
    <w:p w:rsidR="001434F7" w:rsidRDefault="007833AD"/>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9A3EDE" w:rsidRDefault="009A3EDE" w:rsidP="009A3EDE">
      <w:pPr>
        <w:spacing w:line="360" w:lineRule="auto"/>
        <w:ind w:left="720" w:hanging="720"/>
        <w:jc w:val="both"/>
        <w:rPr>
          <w:rFonts w:ascii="David" w:hAnsi="David"/>
          <w:rtl/>
        </w:rPr>
      </w:pPr>
      <w:bookmarkStart w:id="1" w:name="NGCSBookmark"/>
      <w:bookmarkEnd w:id="1"/>
    </w:p>
    <w:p w:rsidR="009A3EDE" w:rsidRDefault="009A3EDE" w:rsidP="009A3EDE">
      <w:pPr>
        <w:spacing w:after="120" w:line="360" w:lineRule="auto"/>
        <w:ind w:left="720" w:hanging="720"/>
        <w:jc w:val="both"/>
        <w:rPr>
          <w:rFonts w:ascii="David" w:hAnsi="David"/>
          <w:rtl/>
        </w:rPr>
      </w:pPr>
      <w:r w:rsidRPr="009A3EDE">
        <w:rPr>
          <w:rFonts w:ascii="David" w:hAnsi="David" w:hint="cs"/>
          <w:b/>
          <w:bCs/>
          <w:u w:val="single"/>
          <w:rtl/>
        </w:rPr>
        <w:t>השופט חננאל שרעבי, אב"ד</w:t>
      </w:r>
      <w:r w:rsidRPr="009A3EDE">
        <w:rPr>
          <w:rFonts w:ascii="David" w:hAnsi="David" w:hint="cs"/>
          <w:b/>
          <w:bCs/>
          <w:rtl/>
        </w:rPr>
        <w:t>:</w:t>
      </w:r>
    </w:p>
    <w:p w:rsidR="009A3EDE" w:rsidRPr="008C1981" w:rsidRDefault="009A3EDE" w:rsidP="00820F03">
      <w:pPr>
        <w:spacing w:after="120" w:line="360" w:lineRule="auto"/>
        <w:ind w:left="720" w:hanging="720"/>
        <w:jc w:val="both"/>
        <w:rPr>
          <w:rFonts w:ascii="David" w:hAnsi="David"/>
          <w:rtl/>
        </w:rPr>
      </w:pPr>
      <w:r w:rsidRPr="008C1981">
        <w:rPr>
          <w:rFonts w:ascii="David" w:hAnsi="David"/>
          <w:rtl/>
        </w:rPr>
        <w:t>1.</w:t>
      </w:r>
      <w:r w:rsidRPr="008C1981">
        <w:rPr>
          <w:rFonts w:ascii="David" w:hAnsi="David"/>
          <w:rtl/>
        </w:rPr>
        <w:tab/>
        <w:t>עסקינן בערעור על פסק דינו של בית משפט לענייני משפ</w:t>
      </w:r>
      <w:r>
        <w:rPr>
          <w:rFonts w:ascii="David" w:hAnsi="David" w:hint="cs"/>
          <w:rtl/>
        </w:rPr>
        <w:t>ח</w:t>
      </w:r>
      <w:r w:rsidRPr="008C1981">
        <w:rPr>
          <w:rFonts w:ascii="David" w:hAnsi="David"/>
          <w:rtl/>
        </w:rPr>
        <w:t>ה בחיפה (סגן הנשיאה, כב' השופט טל פפרני) בתלה"מ 43670-04-21</w:t>
      </w:r>
      <w:r>
        <w:rPr>
          <w:rFonts w:ascii="David" w:hAnsi="David" w:hint="cs"/>
          <w:rtl/>
        </w:rPr>
        <w:t xml:space="preserve"> מיום 24.3.2024</w:t>
      </w:r>
      <w:r w:rsidRPr="008C1981">
        <w:rPr>
          <w:rFonts w:ascii="David" w:hAnsi="David"/>
          <w:rtl/>
        </w:rPr>
        <w:t>, במסגרתו תבעה</w:t>
      </w:r>
      <w:r>
        <w:rPr>
          <w:rFonts w:ascii="David" w:hAnsi="David"/>
          <w:rtl/>
        </w:rPr>
        <w:t xml:space="preserve"> המשיבה את המערער תביעה נזיקית </w:t>
      </w:r>
      <w:r w:rsidRPr="008C1981">
        <w:rPr>
          <w:rFonts w:ascii="David" w:hAnsi="David"/>
          <w:rtl/>
        </w:rPr>
        <w:t>בעוולות הרשלנות והפרת חובה חקוקה לתשלום פיצויים בסך של מ</w:t>
      </w:r>
      <w:r>
        <w:rPr>
          <w:rFonts w:ascii="David" w:hAnsi="David" w:hint="cs"/>
          <w:rtl/>
        </w:rPr>
        <w:t>י</w:t>
      </w:r>
      <w:r w:rsidRPr="008C1981">
        <w:rPr>
          <w:rFonts w:ascii="David" w:hAnsi="David"/>
          <w:rtl/>
        </w:rPr>
        <w:t xml:space="preserve">ליון ₪, בגין נזק ממוני ולא ממוני שנגרמו לה, לטענתה, עקב מעשי ומחדלי המערער, שהובילו לנתק ממושך בינה לבין בנם המשותף </w:t>
      </w:r>
      <w:r w:rsidR="00820F03">
        <w:rPr>
          <w:rFonts w:ascii="David" w:hAnsi="David" w:hint="cs"/>
          <w:rtl/>
        </w:rPr>
        <w:t>מ'</w:t>
      </w:r>
      <w:r w:rsidRPr="008C1981">
        <w:rPr>
          <w:rFonts w:ascii="David" w:hAnsi="David"/>
          <w:rtl/>
        </w:rPr>
        <w:t xml:space="preserve"> (להלן: </w:t>
      </w:r>
      <w:r w:rsidR="00820F03">
        <w:rPr>
          <w:rFonts w:ascii="David" w:hAnsi="David"/>
          <w:b/>
          <w:bCs/>
          <w:rtl/>
        </w:rPr>
        <w:t>"מ</w:t>
      </w:r>
      <w:r w:rsidR="00820F03">
        <w:rPr>
          <w:rFonts w:ascii="David" w:hAnsi="David" w:hint="cs"/>
          <w:b/>
          <w:bCs/>
          <w:rtl/>
        </w:rPr>
        <w:t xml:space="preserve">' </w:t>
      </w:r>
      <w:r w:rsidRPr="008C1981">
        <w:rPr>
          <w:rFonts w:ascii="David" w:hAnsi="David"/>
          <w:b/>
          <w:bCs/>
          <w:rtl/>
        </w:rPr>
        <w:t>"</w:t>
      </w:r>
      <w:r w:rsidRPr="008C1981">
        <w:rPr>
          <w:rFonts w:ascii="David" w:hAnsi="David"/>
          <w:rtl/>
        </w:rPr>
        <w:t xml:space="preserve">). </w:t>
      </w:r>
    </w:p>
    <w:p w:rsidR="009A3EDE" w:rsidRPr="008C1981" w:rsidRDefault="009A3EDE" w:rsidP="009A3EDE">
      <w:pPr>
        <w:spacing w:after="120" w:line="360" w:lineRule="auto"/>
        <w:ind w:left="720" w:hanging="720"/>
        <w:jc w:val="both"/>
        <w:rPr>
          <w:rFonts w:ascii="David" w:hAnsi="David"/>
          <w:rtl/>
        </w:rPr>
      </w:pPr>
      <w:r w:rsidRPr="008C1981">
        <w:rPr>
          <w:rFonts w:ascii="David" w:hAnsi="David"/>
          <w:rtl/>
        </w:rPr>
        <w:t>2.</w:t>
      </w:r>
      <w:r w:rsidRPr="008C1981">
        <w:rPr>
          <w:rFonts w:ascii="David" w:hAnsi="David"/>
          <w:rtl/>
        </w:rPr>
        <w:tab/>
      </w:r>
      <w:r w:rsidRPr="008C1981">
        <w:rPr>
          <w:rFonts w:ascii="David" w:hAnsi="David"/>
          <w:u w:val="single"/>
          <w:rtl/>
        </w:rPr>
        <w:t>נקדים ונציין כי התובענה התקבלה בחלקה, כדלקמן</w:t>
      </w:r>
      <w:r w:rsidRPr="008C1981">
        <w:rPr>
          <w:rFonts w:ascii="David" w:hAnsi="David"/>
          <w:rtl/>
        </w:rPr>
        <w:t>:</w:t>
      </w:r>
    </w:p>
    <w:p w:rsidR="009A3EDE" w:rsidRPr="008C1981" w:rsidRDefault="009A3EDE" w:rsidP="009A3EDE">
      <w:pPr>
        <w:spacing w:after="120" w:line="360" w:lineRule="auto"/>
        <w:ind w:left="1440" w:hanging="720"/>
        <w:jc w:val="both"/>
        <w:rPr>
          <w:rFonts w:ascii="David" w:hAnsi="David"/>
          <w:rtl/>
        </w:rPr>
      </w:pPr>
      <w:r w:rsidRPr="008C1981">
        <w:rPr>
          <w:rFonts w:ascii="David" w:hAnsi="David"/>
          <w:rtl/>
        </w:rPr>
        <w:t>א.</w:t>
      </w:r>
      <w:r w:rsidRPr="008C1981">
        <w:rPr>
          <w:rFonts w:ascii="David" w:hAnsi="David"/>
          <w:rtl/>
        </w:rPr>
        <w:tab/>
        <w:t xml:space="preserve">נקבע כי למשיבה נגרם נזק שאינו ממוני </w:t>
      </w:r>
      <w:r>
        <w:rPr>
          <w:rFonts w:ascii="David" w:hAnsi="David"/>
          <w:rtl/>
        </w:rPr>
        <w:t xml:space="preserve">עקב הסתה וניכור של </w:t>
      </w:r>
      <w:r w:rsidR="00820F03">
        <w:rPr>
          <w:rFonts w:ascii="David" w:hAnsi="David"/>
          <w:rtl/>
        </w:rPr>
        <w:t xml:space="preserve">מ' </w:t>
      </w:r>
      <w:r>
        <w:rPr>
          <w:rFonts w:ascii="David" w:hAnsi="David"/>
          <w:rtl/>
        </w:rPr>
        <w:t>כלפי א</w:t>
      </w:r>
      <w:r w:rsidRPr="008C1981">
        <w:rPr>
          <w:rFonts w:ascii="David" w:hAnsi="David"/>
          <w:rtl/>
        </w:rPr>
        <w:t>מו המשיבה</w:t>
      </w:r>
      <w:r>
        <w:rPr>
          <w:rFonts w:ascii="David" w:hAnsi="David" w:hint="cs"/>
          <w:rtl/>
        </w:rPr>
        <w:t>,</w:t>
      </w:r>
      <w:r w:rsidRPr="008C1981">
        <w:rPr>
          <w:rFonts w:ascii="David" w:hAnsi="David"/>
          <w:rtl/>
        </w:rPr>
        <w:t xml:space="preserve"> העולים כדי ביצוע עוולת הרשלנות ו</w:t>
      </w:r>
      <w:r>
        <w:rPr>
          <w:rFonts w:ascii="David" w:hAnsi="David" w:hint="cs"/>
          <w:rtl/>
        </w:rPr>
        <w:t xml:space="preserve">עוולת </w:t>
      </w:r>
      <w:r>
        <w:rPr>
          <w:rFonts w:ascii="David" w:hAnsi="David"/>
          <w:rtl/>
        </w:rPr>
        <w:t xml:space="preserve">הפרת חובה </w:t>
      </w:r>
      <w:r w:rsidRPr="008C1981">
        <w:rPr>
          <w:rFonts w:ascii="David" w:hAnsi="David"/>
          <w:rtl/>
        </w:rPr>
        <w:t>חקוקה כלפי המשיבה;</w:t>
      </w:r>
    </w:p>
    <w:p w:rsidR="009A3EDE" w:rsidRPr="008C1981" w:rsidRDefault="009A3EDE" w:rsidP="009A3EDE">
      <w:pPr>
        <w:spacing w:after="120" w:line="360" w:lineRule="auto"/>
        <w:ind w:left="1440" w:hanging="720"/>
        <w:jc w:val="both"/>
        <w:rPr>
          <w:rFonts w:ascii="David" w:hAnsi="David"/>
          <w:rtl/>
        </w:rPr>
      </w:pPr>
      <w:r w:rsidRPr="008C1981">
        <w:rPr>
          <w:rFonts w:ascii="David" w:hAnsi="David"/>
          <w:rtl/>
        </w:rPr>
        <w:t>ב.</w:t>
      </w:r>
      <w:r w:rsidRPr="008C1981">
        <w:rPr>
          <w:rFonts w:ascii="David" w:hAnsi="David"/>
          <w:rtl/>
        </w:rPr>
        <w:tab/>
        <w:t>למשיבה אשם תורם בשיעור ש</w:t>
      </w:r>
      <w:r>
        <w:rPr>
          <w:rFonts w:ascii="David" w:hAnsi="David"/>
          <w:rtl/>
        </w:rPr>
        <w:t>ל 25% לקיומו של הניכור ההורי מצ</w:t>
      </w:r>
      <w:r>
        <w:rPr>
          <w:rFonts w:ascii="David" w:hAnsi="David" w:hint="cs"/>
          <w:rtl/>
        </w:rPr>
        <w:t>י</w:t>
      </w:r>
      <w:r w:rsidRPr="008C1981">
        <w:rPr>
          <w:rFonts w:ascii="David" w:hAnsi="David"/>
          <w:rtl/>
        </w:rPr>
        <w:t xml:space="preserve">דו של </w:t>
      </w:r>
      <w:r w:rsidR="00820F03">
        <w:rPr>
          <w:rFonts w:ascii="David" w:hAnsi="David"/>
          <w:rtl/>
        </w:rPr>
        <w:t xml:space="preserve">מ' </w:t>
      </w:r>
      <w:r w:rsidRPr="008C1981">
        <w:rPr>
          <w:rFonts w:ascii="David" w:hAnsi="David"/>
          <w:rtl/>
        </w:rPr>
        <w:t>כלפיה;</w:t>
      </w:r>
    </w:p>
    <w:p w:rsidR="009A3EDE" w:rsidRPr="008C1981" w:rsidRDefault="009A3EDE" w:rsidP="009A3EDE">
      <w:pPr>
        <w:spacing w:after="120" w:line="360" w:lineRule="auto"/>
        <w:ind w:left="1440" w:hanging="720"/>
        <w:jc w:val="both"/>
        <w:rPr>
          <w:rFonts w:ascii="David" w:hAnsi="David"/>
          <w:rtl/>
        </w:rPr>
      </w:pPr>
      <w:r w:rsidRPr="008C1981">
        <w:rPr>
          <w:rFonts w:ascii="David" w:hAnsi="David"/>
          <w:rtl/>
        </w:rPr>
        <w:t>ג.</w:t>
      </w:r>
      <w:r w:rsidRPr="008C1981">
        <w:rPr>
          <w:rFonts w:ascii="David" w:hAnsi="David"/>
          <w:rtl/>
        </w:rPr>
        <w:tab/>
        <w:t>סכום הפיצוי המלא שנפסק הוא בשיעור של 220,000 ₪, שלאחר ניכוי של 25% אשם תורם, עומד על סך של 165,000, אותו חייב בית משפט קמא את המערער לשלם למשיבה כסכום פיצוי בגין נזק שאינו ממוני;</w:t>
      </w:r>
    </w:p>
    <w:p w:rsidR="009A3EDE" w:rsidRPr="008C1981" w:rsidRDefault="009A3EDE" w:rsidP="009A3EDE">
      <w:pPr>
        <w:spacing w:after="120" w:line="360" w:lineRule="auto"/>
        <w:ind w:left="1440" w:hanging="720"/>
        <w:jc w:val="both"/>
        <w:rPr>
          <w:rFonts w:ascii="David" w:hAnsi="David"/>
          <w:rtl/>
        </w:rPr>
      </w:pPr>
      <w:r w:rsidRPr="008C1981">
        <w:rPr>
          <w:rFonts w:ascii="David" w:hAnsi="David"/>
          <w:rtl/>
        </w:rPr>
        <w:t>ד.</w:t>
      </w:r>
      <w:r w:rsidRPr="008C1981">
        <w:rPr>
          <w:rFonts w:ascii="David" w:hAnsi="David"/>
          <w:rtl/>
        </w:rPr>
        <w:tab/>
        <w:t xml:space="preserve">חיוב המערער בהוצאות המשפט ושכ"ט עו"ד של המשיבה בסכום של 55,000 ₪. </w:t>
      </w:r>
    </w:p>
    <w:p w:rsidR="009A3EDE" w:rsidRDefault="009A3EDE" w:rsidP="009A3EDE">
      <w:pPr>
        <w:spacing w:after="120" w:line="360" w:lineRule="auto"/>
        <w:jc w:val="both"/>
        <w:rPr>
          <w:rFonts w:ascii="David" w:hAnsi="David"/>
          <w:rtl/>
        </w:rPr>
      </w:pPr>
    </w:p>
    <w:p w:rsidR="00820F03" w:rsidRDefault="00820F03" w:rsidP="009A3EDE">
      <w:pPr>
        <w:spacing w:after="120" w:line="360" w:lineRule="auto"/>
        <w:jc w:val="both"/>
        <w:rPr>
          <w:rFonts w:ascii="David" w:hAnsi="David"/>
          <w:rtl/>
        </w:rPr>
      </w:pPr>
    </w:p>
    <w:p w:rsidR="009A3EDE" w:rsidRPr="008C1981" w:rsidRDefault="009A3EDE" w:rsidP="009A3EDE">
      <w:pPr>
        <w:spacing w:after="120" w:line="360" w:lineRule="auto"/>
        <w:jc w:val="both"/>
        <w:rPr>
          <w:rFonts w:ascii="David" w:hAnsi="David"/>
          <w:u w:val="single"/>
          <w:rtl/>
        </w:rPr>
      </w:pPr>
      <w:r w:rsidRPr="008C1981">
        <w:rPr>
          <w:rFonts w:ascii="David" w:hAnsi="David"/>
          <w:b/>
          <w:bCs/>
          <w:u w:val="single"/>
          <w:rtl/>
        </w:rPr>
        <w:lastRenderedPageBreak/>
        <w:t xml:space="preserve">רקע בקצרה וטענות הצדדים בכתבי טענותיהם בבית משפט קמא </w:t>
      </w:r>
    </w:p>
    <w:p w:rsidR="009A3EDE" w:rsidRDefault="009A3EDE" w:rsidP="00820F03">
      <w:pPr>
        <w:spacing w:after="120" w:line="360" w:lineRule="auto"/>
        <w:ind w:left="720" w:hanging="720"/>
        <w:jc w:val="both"/>
        <w:rPr>
          <w:rFonts w:ascii="David" w:hAnsi="David"/>
          <w:rtl/>
        </w:rPr>
      </w:pPr>
      <w:r w:rsidRPr="008C1981">
        <w:rPr>
          <w:rFonts w:ascii="David" w:hAnsi="David"/>
          <w:rtl/>
        </w:rPr>
        <w:t>3.</w:t>
      </w:r>
      <w:r w:rsidRPr="008C1981">
        <w:rPr>
          <w:rFonts w:ascii="David" w:hAnsi="David"/>
          <w:rtl/>
        </w:rPr>
        <w:tab/>
      </w:r>
      <w:r>
        <w:rPr>
          <w:rFonts w:ascii="David" w:hAnsi="David"/>
          <w:rtl/>
        </w:rPr>
        <w:t>הצדדים הינם בני זוג לשעבר, ולהם שני ילדים:</w:t>
      </w:r>
      <w:r w:rsidRPr="008C1981">
        <w:rPr>
          <w:rFonts w:ascii="David" w:hAnsi="David"/>
          <w:rtl/>
        </w:rPr>
        <w:t xml:space="preserve"> </w:t>
      </w:r>
      <w:r w:rsidR="00820F03">
        <w:rPr>
          <w:rFonts w:ascii="David" w:hAnsi="David"/>
          <w:rtl/>
        </w:rPr>
        <w:t xml:space="preserve">מ' </w:t>
      </w:r>
      <w:r>
        <w:rPr>
          <w:rFonts w:ascii="David" w:hAnsi="David"/>
          <w:rtl/>
        </w:rPr>
        <w:t xml:space="preserve">יליד </w:t>
      </w:r>
      <w:r w:rsidR="00820F03">
        <w:rPr>
          <w:rFonts w:ascii="David" w:hAnsi="David" w:hint="cs"/>
          <w:rtl/>
        </w:rPr>
        <w:t>2004</w:t>
      </w:r>
      <w:r w:rsidR="00820F03">
        <w:rPr>
          <w:rFonts w:ascii="David" w:hAnsi="David"/>
          <w:rtl/>
        </w:rPr>
        <w:t xml:space="preserve"> ו</w:t>
      </w:r>
      <w:r w:rsidR="00820F03">
        <w:rPr>
          <w:rFonts w:ascii="David" w:hAnsi="David" w:hint="cs"/>
          <w:rtl/>
        </w:rPr>
        <w:t>-</w:t>
      </w:r>
      <w:r w:rsidR="00820F03">
        <w:rPr>
          <w:rFonts w:ascii="David" w:hAnsi="David"/>
          <w:rtl/>
        </w:rPr>
        <w:t>ד</w:t>
      </w:r>
      <w:r w:rsidR="00820F03">
        <w:rPr>
          <w:rFonts w:ascii="David" w:hAnsi="David" w:hint="cs"/>
          <w:rtl/>
        </w:rPr>
        <w:t>'</w:t>
      </w:r>
      <w:r>
        <w:rPr>
          <w:rFonts w:ascii="David" w:hAnsi="David"/>
          <w:rtl/>
        </w:rPr>
        <w:t xml:space="preserve"> יליד </w:t>
      </w:r>
      <w:r w:rsidR="00820F03">
        <w:rPr>
          <w:rFonts w:ascii="David" w:hAnsi="David" w:hint="cs"/>
          <w:rtl/>
        </w:rPr>
        <w:t>2006</w:t>
      </w:r>
      <w:r>
        <w:rPr>
          <w:rFonts w:ascii="David" w:hAnsi="David"/>
          <w:rtl/>
        </w:rPr>
        <w:t xml:space="preserve">, </w:t>
      </w:r>
      <w:r>
        <w:rPr>
          <w:rFonts w:ascii="David" w:hAnsi="David" w:hint="cs"/>
          <w:rtl/>
        </w:rPr>
        <w:t>כ</w:t>
      </w:r>
      <w:r w:rsidRPr="008C1981">
        <w:rPr>
          <w:rFonts w:ascii="David" w:hAnsi="David"/>
          <w:rtl/>
        </w:rPr>
        <w:t>יום שניהם בגירים.</w:t>
      </w:r>
    </w:p>
    <w:p w:rsidR="009A3EDE" w:rsidRPr="003063EF" w:rsidRDefault="009A3EDE" w:rsidP="009A3EDE">
      <w:pPr>
        <w:spacing w:after="120" w:line="360" w:lineRule="auto"/>
        <w:ind w:left="720" w:hanging="720"/>
        <w:jc w:val="both"/>
        <w:rPr>
          <w:rFonts w:ascii="David" w:hAnsi="David"/>
          <w:rtl/>
        </w:rPr>
      </w:pPr>
      <w:r>
        <w:rPr>
          <w:rFonts w:ascii="David" w:hAnsi="David"/>
          <w:rtl/>
        </w:rPr>
        <w:tab/>
      </w:r>
      <w:r>
        <w:rPr>
          <w:rFonts w:ascii="David" w:hAnsi="David" w:hint="cs"/>
          <w:rtl/>
        </w:rPr>
        <w:t xml:space="preserve">את המערער נכנה להלן: </w:t>
      </w:r>
      <w:r>
        <w:rPr>
          <w:rFonts w:ascii="David" w:hAnsi="David" w:hint="cs"/>
          <w:b/>
          <w:bCs/>
          <w:rtl/>
        </w:rPr>
        <w:t>"האב"</w:t>
      </w:r>
      <w:r>
        <w:rPr>
          <w:rFonts w:ascii="David" w:hAnsi="David" w:hint="cs"/>
          <w:rtl/>
        </w:rPr>
        <w:t xml:space="preserve">, ואת המשיבה נכנה להלן: </w:t>
      </w:r>
      <w:r>
        <w:rPr>
          <w:rFonts w:ascii="David" w:hAnsi="David" w:hint="cs"/>
          <w:b/>
          <w:bCs/>
          <w:rtl/>
        </w:rPr>
        <w:t>"האם"</w:t>
      </w:r>
      <w:r>
        <w:rPr>
          <w:rFonts w:ascii="David" w:hAnsi="David" w:hint="cs"/>
          <w:rtl/>
        </w:rPr>
        <w:t xml:space="preserve">. </w:t>
      </w:r>
    </w:p>
    <w:p w:rsidR="009A3EDE" w:rsidRPr="008C1981" w:rsidRDefault="009A3EDE" w:rsidP="009A3EDE">
      <w:pPr>
        <w:spacing w:after="120" w:line="360" w:lineRule="auto"/>
        <w:ind w:left="720" w:hanging="720"/>
        <w:jc w:val="both"/>
        <w:rPr>
          <w:rFonts w:ascii="David" w:hAnsi="David"/>
          <w:rtl/>
        </w:rPr>
      </w:pPr>
      <w:r w:rsidRPr="008C1981">
        <w:rPr>
          <w:rFonts w:ascii="David" w:hAnsi="David"/>
          <w:rtl/>
        </w:rPr>
        <w:t>4.</w:t>
      </w:r>
      <w:r w:rsidRPr="008C1981">
        <w:rPr>
          <w:rFonts w:ascii="David" w:hAnsi="David"/>
          <w:rtl/>
        </w:rPr>
        <w:tab/>
        <w:t xml:space="preserve">לצדדים רקע משפטי </w:t>
      </w:r>
      <w:r>
        <w:rPr>
          <w:rFonts w:ascii="David" w:hAnsi="David" w:hint="cs"/>
          <w:rtl/>
        </w:rPr>
        <w:t>רחב</w:t>
      </w:r>
      <w:r w:rsidRPr="008C1981">
        <w:rPr>
          <w:rFonts w:ascii="David" w:hAnsi="David"/>
          <w:rtl/>
        </w:rPr>
        <w:t>. בעניינם קיימים 19 תיקים קשורים, רובם נדונו בפני המותב הקודם, כב' השופט בן ציון ברגר, בין היתר בעניין: מזונות; משמורת; חלוקת רכוש, ובקשות לפי החוק למניעת אלימות במשפחה.</w:t>
      </w:r>
    </w:p>
    <w:p w:rsidR="009A3EDE" w:rsidRPr="008C1981" w:rsidRDefault="009A3EDE" w:rsidP="009A3EDE">
      <w:pPr>
        <w:spacing w:after="120" w:line="360" w:lineRule="auto"/>
        <w:ind w:left="720" w:hanging="720"/>
        <w:jc w:val="both"/>
        <w:rPr>
          <w:rFonts w:ascii="David" w:hAnsi="David"/>
          <w:rtl/>
        </w:rPr>
      </w:pPr>
      <w:r w:rsidRPr="008C1981">
        <w:rPr>
          <w:rFonts w:ascii="David" w:hAnsi="David"/>
          <w:rtl/>
        </w:rPr>
        <w:t>5.</w:t>
      </w:r>
      <w:r w:rsidRPr="008C1981">
        <w:rPr>
          <w:rFonts w:ascii="David" w:hAnsi="David"/>
          <w:rtl/>
        </w:rPr>
        <w:tab/>
        <w:t xml:space="preserve">ביום 21.10.2013 ניתן פסק הדין בעניין משמורת הילדים (אז קטינים). בית המשפט קבע כי המשמורת על הקטינים תהא משותפת לשני ההורים, תוך קביעת זמני שהות אצל כל אחד מההורים. בנוסף, הפנה את הצדדים לתיאום הורי. </w:t>
      </w:r>
    </w:p>
    <w:p w:rsidR="009A3EDE" w:rsidRPr="009F2F99" w:rsidRDefault="009A3EDE" w:rsidP="009A3EDE">
      <w:pPr>
        <w:spacing w:after="120" w:line="360" w:lineRule="auto"/>
        <w:ind w:left="720"/>
        <w:jc w:val="both"/>
        <w:rPr>
          <w:rFonts w:ascii="David" w:hAnsi="David"/>
          <w:rtl/>
        </w:rPr>
      </w:pPr>
      <w:r w:rsidRPr="008C1981">
        <w:rPr>
          <w:rFonts w:ascii="David" w:hAnsi="David"/>
          <w:rtl/>
        </w:rPr>
        <w:t xml:space="preserve">על אף שעניין המשמורת הסתיים בפסק דין, עניינם של הקטינים נדון בפני בית המשפט חדשות לבקרים, זאת נוכח מחלוקות ההורים, אשר הגיעו לשיא ביום 22.11.2014. באותו מועד, עבר </w:t>
      </w:r>
      <w:r w:rsidR="00820F03">
        <w:rPr>
          <w:rFonts w:ascii="David" w:hAnsi="David"/>
          <w:rtl/>
        </w:rPr>
        <w:t xml:space="preserve">מ' </w:t>
      </w:r>
      <w:r w:rsidRPr="008C1981">
        <w:rPr>
          <w:rFonts w:ascii="David" w:hAnsi="David"/>
          <w:rtl/>
        </w:rPr>
        <w:t xml:space="preserve">(היה קטין אז) להתגורר בבית האב, לאחר אירוע בעל אופי אלים שהתרחש בבית האם, במסגרתו אף הוזמנה משטרה. </w:t>
      </w:r>
      <w:r w:rsidRPr="009F2F99">
        <w:rPr>
          <w:rFonts w:ascii="David" w:hAnsi="David"/>
          <w:rtl/>
        </w:rPr>
        <w:t xml:space="preserve">מאז מסרב </w:t>
      </w:r>
      <w:r w:rsidR="00820F03">
        <w:rPr>
          <w:rFonts w:ascii="David" w:hAnsi="David"/>
          <w:rtl/>
        </w:rPr>
        <w:t xml:space="preserve">מ' </w:t>
      </w:r>
      <w:r w:rsidRPr="009F2F99">
        <w:rPr>
          <w:rFonts w:ascii="David" w:hAnsi="David"/>
          <w:rtl/>
        </w:rPr>
        <w:t xml:space="preserve">להיות בקשר עם אמו (להלן: </w:t>
      </w:r>
      <w:r w:rsidRPr="009F2F99">
        <w:rPr>
          <w:rFonts w:ascii="David" w:hAnsi="David"/>
          <w:b/>
          <w:bCs/>
          <w:rtl/>
        </w:rPr>
        <w:t>"אירוע 2014"</w:t>
      </w:r>
      <w:r w:rsidRPr="009F2F99">
        <w:rPr>
          <w:rFonts w:ascii="David" w:hAnsi="David"/>
          <w:rtl/>
        </w:rPr>
        <w:t>).</w:t>
      </w:r>
    </w:p>
    <w:p w:rsidR="009A3EDE" w:rsidRPr="008C1981" w:rsidRDefault="009A3EDE" w:rsidP="009A3EDE">
      <w:pPr>
        <w:spacing w:after="120" w:line="360" w:lineRule="auto"/>
        <w:ind w:left="720" w:hanging="720"/>
        <w:jc w:val="both"/>
        <w:rPr>
          <w:rFonts w:ascii="David" w:hAnsi="David"/>
          <w:rtl/>
        </w:rPr>
      </w:pPr>
      <w:r w:rsidRPr="009F2F99">
        <w:rPr>
          <w:rFonts w:ascii="David" w:hAnsi="David"/>
          <w:rtl/>
        </w:rPr>
        <w:t>6.</w:t>
      </w:r>
      <w:r w:rsidRPr="008C1981">
        <w:rPr>
          <w:rFonts w:ascii="David" w:hAnsi="David"/>
          <w:rtl/>
        </w:rPr>
        <w:tab/>
        <w:t xml:space="preserve">ביום 21.4.2021 הוגשה התביעה הנזיקית בטענה לניכור הורי מצידו של האב/המערער. המשיבה/האם פירטה בתביעתה את כלל ההליכים שהצדדים היו מעורבים בהם במשך השנים לצורך חידוש קשר. </w:t>
      </w:r>
    </w:p>
    <w:p w:rsidR="009A3EDE" w:rsidRPr="008C1981" w:rsidRDefault="009A3EDE" w:rsidP="009A3EDE">
      <w:pPr>
        <w:spacing w:after="120" w:line="360" w:lineRule="auto"/>
        <w:ind w:left="720"/>
        <w:jc w:val="both"/>
        <w:rPr>
          <w:rFonts w:ascii="David" w:hAnsi="David"/>
          <w:rtl/>
        </w:rPr>
      </w:pPr>
      <w:r w:rsidRPr="008C1981">
        <w:rPr>
          <w:rFonts w:ascii="David" w:hAnsi="David"/>
          <w:rtl/>
        </w:rPr>
        <w:t xml:space="preserve">האב התגונן מפני התביעה הנזיקית. בכתב הגנתו הכחיש את כלל טענות האם ובפרט כי הוא האחראי לנתק הקיים בין </w:t>
      </w:r>
      <w:r w:rsidR="00820F03">
        <w:rPr>
          <w:rFonts w:ascii="David" w:hAnsi="David"/>
          <w:rtl/>
        </w:rPr>
        <w:t xml:space="preserve">מ' </w:t>
      </w:r>
      <w:r w:rsidRPr="008C1981">
        <w:rPr>
          <w:rFonts w:ascii="David" w:hAnsi="David"/>
          <w:rtl/>
        </w:rPr>
        <w:t xml:space="preserve">לאם. לדבריו, האם היא האחראית הבלעדית לסרבנות </w:t>
      </w:r>
      <w:r w:rsidR="00820F03">
        <w:rPr>
          <w:rFonts w:ascii="David" w:hAnsi="David"/>
          <w:rtl/>
        </w:rPr>
        <w:t xml:space="preserve">מ' </w:t>
      </w:r>
      <w:r w:rsidRPr="008C1981">
        <w:rPr>
          <w:rFonts w:ascii="David" w:hAnsi="David"/>
          <w:rtl/>
        </w:rPr>
        <w:t>נוכח התנהלותה.</w:t>
      </w:r>
    </w:p>
    <w:p w:rsidR="009A3EDE" w:rsidRPr="008C1981" w:rsidRDefault="009A3EDE" w:rsidP="009A3EDE">
      <w:pPr>
        <w:spacing w:after="120" w:line="360" w:lineRule="auto"/>
        <w:ind w:left="720" w:hanging="720"/>
        <w:jc w:val="both"/>
        <w:rPr>
          <w:rFonts w:ascii="David" w:hAnsi="David"/>
          <w:rtl/>
        </w:rPr>
      </w:pPr>
      <w:r w:rsidRPr="008C1981">
        <w:rPr>
          <w:rFonts w:ascii="David" w:hAnsi="David"/>
        </w:rPr>
        <w:t>7</w:t>
      </w:r>
      <w:r w:rsidRPr="008C1981">
        <w:rPr>
          <w:rFonts w:ascii="David" w:hAnsi="David"/>
          <w:rtl/>
        </w:rPr>
        <w:t>.</w:t>
      </w:r>
      <w:r w:rsidRPr="008C1981">
        <w:rPr>
          <w:rFonts w:ascii="David" w:hAnsi="David"/>
          <w:rtl/>
        </w:rPr>
        <w:tab/>
        <w:t xml:space="preserve">ביום </w:t>
      </w:r>
      <w:r>
        <w:rPr>
          <w:rFonts w:ascii="David" w:hAnsi="David"/>
          <w:rtl/>
        </w:rPr>
        <w:t xml:space="preserve">11.1.2022 הוגש כתב תביעה מתוקן </w:t>
      </w:r>
      <w:r w:rsidRPr="008C1981">
        <w:rPr>
          <w:rFonts w:ascii="David" w:hAnsi="David"/>
          <w:rtl/>
        </w:rPr>
        <w:t>בתביעה הנזיקית.</w:t>
      </w:r>
    </w:p>
    <w:p w:rsidR="009A3EDE" w:rsidRPr="008C1981" w:rsidRDefault="009A3EDE" w:rsidP="009A3EDE">
      <w:pPr>
        <w:spacing w:after="120" w:line="360" w:lineRule="auto"/>
        <w:ind w:left="720" w:hanging="720"/>
        <w:jc w:val="both"/>
        <w:rPr>
          <w:rFonts w:ascii="David" w:hAnsi="David"/>
          <w:rtl/>
        </w:rPr>
      </w:pPr>
      <w:r w:rsidRPr="008C1981">
        <w:rPr>
          <w:rFonts w:ascii="David" w:hAnsi="David"/>
          <w:rtl/>
        </w:rPr>
        <w:tab/>
      </w:r>
      <w:r w:rsidRPr="008C1981">
        <w:rPr>
          <w:rFonts w:ascii="David" w:hAnsi="David"/>
          <w:u w:val="single"/>
          <w:rtl/>
        </w:rPr>
        <w:t>בכתב התביעה המתוקן טענה האם כדלקמן</w:t>
      </w:r>
      <w:r w:rsidRPr="008C1981">
        <w:rPr>
          <w:rFonts w:ascii="David" w:hAnsi="David"/>
          <w:rtl/>
        </w:rPr>
        <w:t>:</w:t>
      </w:r>
    </w:p>
    <w:p w:rsidR="009A3EDE" w:rsidRPr="008C1981" w:rsidRDefault="009A3EDE" w:rsidP="009A3EDE">
      <w:pPr>
        <w:spacing w:after="120" w:line="360" w:lineRule="auto"/>
        <w:ind w:left="1440" w:hanging="660"/>
        <w:jc w:val="both"/>
        <w:rPr>
          <w:rFonts w:ascii="David" w:hAnsi="David"/>
          <w:rtl/>
        </w:rPr>
      </w:pPr>
      <w:r w:rsidRPr="008C1981">
        <w:rPr>
          <w:rFonts w:ascii="David" w:hAnsi="David"/>
          <w:rtl/>
        </w:rPr>
        <w:t>א.</w:t>
      </w:r>
      <w:r w:rsidRPr="008C1981">
        <w:rPr>
          <w:rFonts w:ascii="David" w:hAnsi="David"/>
          <w:rtl/>
        </w:rPr>
        <w:tab/>
        <w:t xml:space="preserve">האב </w:t>
      </w:r>
      <w:r w:rsidR="001B0F92">
        <w:rPr>
          <w:rFonts w:ascii="David" w:hAnsi="David"/>
          <w:rtl/>
        </w:rPr>
        <w:t>פעל ליצירת נתק בינה לבין מ</w:t>
      </w:r>
      <w:r w:rsidR="001B0F92">
        <w:rPr>
          <w:rFonts w:ascii="David" w:hAnsi="David" w:hint="cs"/>
          <w:rtl/>
        </w:rPr>
        <w:t>'</w:t>
      </w:r>
      <w:r>
        <w:rPr>
          <w:rFonts w:ascii="David" w:hAnsi="David"/>
          <w:rtl/>
        </w:rPr>
        <w:t>,</w:t>
      </w:r>
      <w:r w:rsidRPr="008C1981">
        <w:rPr>
          <w:rFonts w:ascii="David" w:hAnsi="David"/>
          <w:rtl/>
        </w:rPr>
        <w:t xml:space="preserve"> עד אשר הקשר נותק סופית במשך כ- 6 שנים ברציפות, זאת מאז </w:t>
      </w:r>
      <w:r>
        <w:rPr>
          <w:rFonts w:ascii="David" w:hAnsi="David" w:hint="cs"/>
          <w:rtl/>
        </w:rPr>
        <w:t>אירוע 2014</w:t>
      </w:r>
      <w:r w:rsidRPr="008C1981">
        <w:rPr>
          <w:rFonts w:ascii="David" w:hAnsi="David"/>
          <w:rtl/>
        </w:rPr>
        <w:t>. האב גרם לניכור הורי קיצוני</w:t>
      </w:r>
      <w:r>
        <w:rPr>
          <w:rFonts w:ascii="David" w:hAnsi="David" w:hint="cs"/>
          <w:rtl/>
        </w:rPr>
        <w:t>,</w:t>
      </w:r>
      <w:r w:rsidRPr="008C1981">
        <w:rPr>
          <w:rFonts w:ascii="David" w:hAnsi="David"/>
          <w:rtl/>
        </w:rPr>
        <w:t xml:space="preserve"> השתלט על תודעתו של </w:t>
      </w:r>
      <w:r w:rsidR="00820F03">
        <w:rPr>
          <w:rFonts w:ascii="David" w:hAnsi="David"/>
          <w:rtl/>
        </w:rPr>
        <w:t xml:space="preserve">מ' </w:t>
      </w:r>
      <w:r w:rsidRPr="008C1981">
        <w:rPr>
          <w:rFonts w:ascii="David" w:hAnsi="David"/>
          <w:rtl/>
        </w:rPr>
        <w:t>ו"תכנת" אותו לשנוא ולתעב את האם.</w:t>
      </w:r>
    </w:p>
    <w:p w:rsidR="009A3EDE" w:rsidRPr="008C1981" w:rsidRDefault="009A3EDE" w:rsidP="009A3EDE">
      <w:pPr>
        <w:spacing w:after="120" w:line="360" w:lineRule="auto"/>
        <w:ind w:left="1440" w:hanging="660"/>
        <w:jc w:val="both"/>
        <w:rPr>
          <w:rFonts w:ascii="David" w:hAnsi="David"/>
          <w:rtl/>
        </w:rPr>
      </w:pPr>
      <w:r w:rsidRPr="008C1981">
        <w:rPr>
          <w:rFonts w:ascii="David" w:hAnsi="David"/>
          <w:rtl/>
        </w:rPr>
        <w:t>ב.</w:t>
      </w:r>
      <w:r w:rsidRPr="008C1981">
        <w:rPr>
          <w:rFonts w:ascii="David" w:hAnsi="David"/>
          <w:rtl/>
        </w:rPr>
        <w:tab/>
        <w:t>מדובר באב אלים פ</w:t>
      </w:r>
      <w:r>
        <w:rPr>
          <w:rFonts w:ascii="David" w:hAnsi="David" w:hint="cs"/>
          <w:rtl/>
        </w:rPr>
        <w:t>י</w:t>
      </w:r>
      <w:r w:rsidRPr="008C1981">
        <w:rPr>
          <w:rFonts w:ascii="David" w:hAnsi="David"/>
          <w:rtl/>
        </w:rPr>
        <w:t xml:space="preserve">זית ומילולית, עד שבשנת 2012 יצא האב מהבית בעקבות אירועי אלימות.  </w:t>
      </w:r>
    </w:p>
    <w:p w:rsidR="009A3EDE" w:rsidRPr="008C1981" w:rsidRDefault="009A3EDE" w:rsidP="001B0F92">
      <w:pPr>
        <w:spacing w:after="120" w:line="360" w:lineRule="auto"/>
        <w:ind w:left="1440"/>
        <w:jc w:val="both"/>
        <w:rPr>
          <w:rFonts w:ascii="David" w:hAnsi="David"/>
          <w:rtl/>
        </w:rPr>
      </w:pPr>
      <w:r w:rsidRPr="008C1981">
        <w:rPr>
          <w:rFonts w:ascii="David" w:hAnsi="David"/>
          <w:rtl/>
        </w:rPr>
        <w:t>ב</w:t>
      </w:r>
      <w:r>
        <w:rPr>
          <w:rFonts w:ascii="David" w:hAnsi="David" w:hint="cs"/>
          <w:rtl/>
        </w:rPr>
        <w:t>-</w:t>
      </w:r>
      <w:r w:rsidRPr="008C1981">
        <w:rPr>
          <w:rFonts w:ascii="David" w:hAnsi="David"/>
          <w:rtl/>
        </w:rPr>
        <w:t xml:space="preserve">ת"פ </w:t>
      </w:r>
      <w:r w:rsidR="001B0F92">
        <w:rPr>
          <w:rFonts w:ascii="David" w:hAnsi="David" w:hint="cs"/>
          <w:rtl/>
        </w:rPr>
        <w:t>00000</w:t>
      </w:r>
      <w:r w:rsidRPr="008C1981">
        <w:rPr>
          <w:rFonts w:ascii="David" w:hAnsi="David"/>
          <w:rtl/>
        </w:rPr>
        <w:t>-</w:t>
      </w:r>
      <w:r w:rsidR="001B0F92">
        <w:rPr>
          <w:rFonts w:ascii="David" w:hAnsi="David" w:hint="cs"/>
          <w:rtl/>
        </w:rPr>
        <w:t>00</w:t>
      </w:r>
      <w:r w:rsidRPr="008C1981">
        <w:rPr>
          <w:rFonts w:ascii="David" w:hAnsi="David"/>
          <w:rtl/>
        </w:rPr>
        <w:t>-13 הורשע האב בגין עבירות אלימות אותן ב</w:t>
      </w:r>
      <w:r>
        <w:rPr>
          <w:rFonts w:ascii="David" w:hAnsi="David" w:hint="cs"/>
          <w:rtl/>
        </w:rPr>
        <w:t>י</w:t>
      </w:r>
      <w:r w:rsidRPr="008C1981">
        <w:rPr>
          <w:rFonts w:ascii="David" w:hAnsi="David"/>
          <w:rtl/>
        </w:rPr>
        <w:t xml:space="preserve">צע נגד האם, כך על פי גזר דין שניתן ביום </w:t>
      </w:r>
      <w:r w:rsidR="001B0F92">
        <w:rPr>
          <w:rFonts w:ascii="David" w:hAnsi="David" w:hint="cs"/>
          <w:rtl/>
        </w:rPr>
        <w:t>0</w:t>
      </w:r>
      <w:r w:rsidRPr="008C1981">
        <w:rPr>
          <w:rFonts w:ascii="David" w:hAnsi="David"/>
          <w:rtl/>
        </w:rPr>
        <w:t>.</w:t>
      </w:r>
      <w:r w:rsidR="001B0F92">
        <w:rPr>
          <w:rFonts w:ascii="David" w:hAnsi="David" w:hint="cs"/>
          <w:rtl/>
        </w:rPr>
        <w:t>0</w:t>
      </w:r>
      <w:r w:rsidRPr="008C1981">
        <w:rPr>
          <w:rFonts w:ascii="David" w:hAnsi="David"/>
          <w:rtl/>
        </w:rPr>
        <w:t xml:space="preserve">.2017. </w:t>
      </w:r>
    </w:p>
    <w:p w:rsidR="009A3EDE" w:rsidRPr="008C1981" w:rsidRDefault="009A3EDE" w:rsidP="009A3EDE">
      <w:pPr>
        <w:spacing w:after="120" w:line="360" w:lineRule="auto"/>
        <w:ind w:left="720"/>
        <w:jc w:val="both"/>
        <w:rPr>
          <w:rFonts w:ascii="David" w:hAnsi="David"/>
          <w:rtl/>
        </w:rPr>
      </w:pPr>
      <w:r w:rsidRPr="008C1981">
        <w:rPr>
          <w:rFonts w:ascii="David" w:hAnsi="David"/>
          <w:rtl/>
        </w:rPr>
        <w:t xml:space="preserve"> ג.</w:t>
      </w:r>
      <w:r w:rsidRPr="008C1981">
        <w:rPr>
          <w:rFonts w:ascii="David" w:hAnsi="David"/>
          <w:rtl/>
        </w:rPr>
        <w:tab/>
        <w:t xml:space="preserve">בהשפעת האב, פיתח </w:t>
      </w:r>
      <w:r w:rsidR="00820F03">
        <w:rPr>
          <w:rFonts w:ascii="David" w:hAnsi="David"/>
          <w:rtl/>
        </w:rPr>
        <w:t xml:space="preserve">מ' </w:t>
      </w:r>
      <w:r w:rsidRPr="008C1981">
        <w:rPr>
          <w:rFonts w:ascii="David" w:hAnsi="David"/>
          <w:rtl/>
        </w:rPr>
        <w:t xml:space="preserve">תפיסה מעוות והרסנית כלפי האם. </w:t>
      </w:r>
    </w:p>
    <w:p w:rsidR="009A3EDE" w:rsidRPr="008C1981" w:rsidRDefault="009A3EDE" w:rsidP="00035CA5">
      <w:pPr>
        <w:spacing w:after="120" w:line="360" w:lineRule="auto"/>
        <w:ind w:left="1440" w:hanging="660"/>
        <w:jc w:val="both"/>
        <w:rPr>
          <w:rFonts w:ascii="David" w:hAnsi="David"/>
          <w:rtl/>
        </w:rPr>
      </w:pPr>
      <w:r w:rsidRPr="008C1981">
        <w:rPr>
          <w:rFonts w:ascii="David" w:hAnsi="David"/>
          <w:rtl/>
        </w:rPr>
        <w:t>ד.</w:t>
      </w:r>
      <w:r w:rsidRPr="008C1981">
        <w:rPr>
          <w:rFonts w:ascii="David" w:hAnsi="David"/>
          <w:rtl/>
        </w:rPr>
        <w:tab/>
        <w:t>במצב דברים זה הוגשה בקשה בדבר קטין נזקק בהתייחס ל</w:t>
      </w:r>
      <w:r w:rsidR="00820F03">
        <w:rPr>
          <w:rFonts w:ascii="David" w:hAnsi="David"/>
          <w:rtl/>
        </w:rPr>
        <w:t xml:space="preserve">מ' </w:t>
      </w:r>
      <w:r w:rsidRPr="008C1981">
        <w:rPr>
          <w:rFonts w:ascii="David" w:hAnsi="David"/>
          <w:rtl/>
        </w:rPr>
        <w:t xml:space="preserve">(תנ"ז </w:t>
      </w:r>
      <w:r w:rsidR="00035CA5">
        <w:rPr>
          <w:rFonts w:ascii="David" w:hAnsi="David" w:hint="cs"/>
          <w:rtl/>
        </w:rPr>
        <w:t>00000</w:t>
      </w:r>
      <w:r w:rsidRPr="008C1981">
        <w:rPr>
          <w:rFonts w:ascii="David" w:hAnsi="David"/>
          <w:rtl/>
        </w:rPr>
        <w:t>-</w:t>
      </w:r>
      <w:r w:rsidR="00035CA5">
        <w:rPr>
          <w:rFonts w:ascii="David" w:hAnsi="David" w:hint="cs"/>
          <w:rtl/>
        </w:rPr>
        <w:t>00</w:t>
      </w:r>
      <w:r w:rsidRPr="008C1981">
        <w:rPr>
          <w:rFonts w:ascii="David" w:hAnsi="David"/>
          <w:rtl/>
        </w:rPr>
        <w:t>-16). במסגרת תנ"ז זה</w:t>
      </w:r>
      <w:r>
        <w:rPr>
          <w:rFonts w:ascii="David" w:hAnsi="David" w:hint="cs"/>
          <w:rtl/>
        </w:rPr>
        <w:t>,</w:t>
      </w:r>
      <w:r w:rsidRPr="008C1981">
        <w:rPr>
          <w:rFonts w:ascii="David" w:hAnsi="David"/>
          <w:rtl/>
        </w:rPr>
        <w:t xml:space="preserve"> העו"ס לחוק נוער התייחסה לניתוק הקשר של </w:t>
      </w:r>
      <w:r w:rsidR="00820F03">
        <w:rPr>
          <w:rFonts w:ascii="David" w:hAnsi="David"/>
          <w:rtl/>
        </w:rPr>
        <w:t xml:space="preserve">מ' </w:t>
      </w:r>
      <w:r w:rsidRPr="008C1981">
        <w:rPr>
          <w:rFonts w:ascii="David" w:hAnsi="David"/>
          <w:rtl/>
        </w:rPr>
        <w:t>עם האם, אשר פוגע בהתפתחו</w:t>
      </w:r>
      <w:r>
        <w:rPr>
          <w:rFonts w:ascii="David" w:hAnsi="David" w:hint="cs"/>
          <w:rtl/>
        </w:rPr>
        <w:t>תו</w:t>
      </w:r>
      <w:r w:rsidRPr="008C1981">
        <w:rPr>
          <w:rFonts w:ascii="David" w:hAnsi="David"/>
          <w:rtl/>
        </w:rPr>
        <w:t xml:space="preserve"> התקינה. </w:t>
      </w:r>
    </w:p>
    <w:p w:rsidR="009A3EDE" w:rsidRPr="008C1981" w:rsidRDefault="009A3EDE" w:rsidP="009A3EDE">
      <w:pPr>
        <w:spacing w:after="120" w:line="360" w:lineRule="auto"/>
        <w:ind w:left="1440" w:hanging="720"/>
        <w:jc w:val="both"/>
        <w:rPr>
          <w:rFonts w:ascii="David" w:hAnsi="David"/>
          <w:rtl/>
        </w:rPr>
      </w:pPr>
      <w:r w:rsidRPr="008C1981">
        <w:rPr>
          <w:rFonts w:ascii="David" w:hAnsi="David"/>
          <w:rtl/>
        </w:rPr>
        <w:lastRenderedPageBreak/>
        <w:t>ה.</w:t>
      </w:r>
      <w:r w:rsidRPr="008C1981">
        <w:rPr>
          <w:rFonts w:ascii="David" w:hAnsi="David"/>
          <w:rtl/>
        </w:rPr>
        <w:tab/>
        <w:t>הפנתה לאבחונים ותסקירים שונים שהוגשו במהלך השנים לערכאות, תוך התייחסות לתפיסת עולמו המעוותת של</w:t>
      </w:r>
      <w:r>
        <w:rPr>
          <w:rFonts w:ascii="David" w:hAnsi="David"/>
          <w:rtl/>
        </w:rPr>
        <w:t xml:space="preserve"> </w:t>
      </w:r>
      <w:r w:rsidR="00820F03">
        <w:rPr>
          <w:rFonts w:ascii="David" w:hAnsi="David"/>
          <w:rtl/>
        </w:rPr>
        <w:t xml:space="preserve">מ' </w:t>
      </w:r>
      <w:r>
        <w:rPr>
          <w:rFonts w:ascii="David" w:hAnsi="David"/>
          <w:rtl/>
        </w:rPr>
        <w:t>כלפיה. עוד הפנתה לסיכום הטיפול</w:t>
      </w:r>
      <w:r w:rsidRPr="008C1981">
        <w:rPr>
          <w:rFonts w:ascii="David" w:hAnsi="David"/>
          <w:rtl/>
        </w:rPr>
        <w:t xml:space="preserve"> של היחידה הטיפולית "אהבה". לשיטתה כלל הגורמים שללו מסוכנות מצדה והמליצו על חידוש הקשר. </w:t>
      </w:r>
    </w:p>
    <w:p w:rsidR="009A3EDE" w:rsidRPr="008C1981" w:rsidRDefault="009A3EDE" w:rsidP="009A3EDE">
      <w:pPr>
        <w:spacing w:after="120" w:line="360" w:lineRule="auto"/>
        <w:ind w:left="1440"/>
        <w:jc w:val="both"/>
        <w:rPr>
          <w:rFonts w:ascii="David" w:hAnsi="David"/>
          <w:rtl/>
        </w:rPr>
      </w:pPr>
      <w:r w:rsidRPr="008C1981">
        <w:rPr>
          <w:rFonts w:ascii="David" w:hAnsi="David"/>
          <w:rtl/>
        </w:rPr>
        <w:t xml:space="preserve">בתסקיר מיום 11.7.2021 מטעם ד"ר קיבנסון, שבוצע לאחר שיחה עם </w:t>
      </w:r>
      <w:r w:rsidR="00820F03">
        <w:rPr>
          <w:rFonts w:ascii="David" w:hAnsi="David"/>
          <w:rtl/>
        </w:rPr>
        <w:t xml:space="preserve">מ' </w:t>
      </w:r>
      <w:r w:rsidRPr="008C1981">
        <w:rPr>
          <w:rFonts w:ascii="David" w:hAnsi="David"/>
          <w:rtl/>
        </w:rPr>
        <w:t xml:space="preserve">ללא ידיעת האם, מצאה המומחית הנ"ל כי </w:t>
      </w:r>
      <w:r w:rsidR="00820F03">
        <w:rPr>
          <w:rFonts w:ascii="David" w:hAnsi="David"/>
          <w:rtl/>
        </w:rPr>
        <w:t xml:space="preserve">מ' </w:t>
      </w:r>
      <w:r w:rsidRPr="008C1981">
        <w:rPr>
          <w:rFonts w:ascii="David" w:hAnsi="David"/>
          <w:rtl/>
        </w:rPr>
        <w:t xml:space="preserve">שחוק, ואין סיכוי לחידוש הקשר עם האם. </w:t>
      </w:r>
    </w:p>
    <w:p w:rsidR="009A3EDE" w:rsidRPr="008C1981" w:rsidRDefault="009A3EDE" w:rsidP="00C061F7">
      <w:pPr>
        <w:spacing w:after="120" w:line="360" w:lineRule="auto"/>
        <w:ind w:left="1440"/>
        <w:jc w:val="both"/>
        <w:rPr>
          <w:rFonts w:ascii="David" w:hAnsi="David"/>
          <w:rtl/>
        </w:rPr>
      </w:pPr>
      <w:r w:rsidRPr="008C1981">
        <w:rPr>
          <w:rFonts w:ascii="David" w:hAnsi="David"/>
          <w:rtl/>
        </w:rPr>
        <w:t>באותה עת עו"ס לסדרי דין, גב' רונית בן</w:t>
      </w:r>
      <w:r>
        <w:rPr>
          <w:rFonts w:ascii="David" w:hAnsi="David"/>
          <w:rtl/>
        </w:rPr>
        <w:t xml:space="preserve"> עזרא בקשה להסיר את סמכויותיה, ולמעשה "הרימה ידיים". האם לא </w:t>
      </w:r>
      <w:r w:rsidRPr="008C1981">
        <w:rPr>
          <w:rFonts w:ascii="David" w:hAnsi="David"/>
          <w:rtl/>
        </w:rPr>
        <w:t xml:space="preserve">ויתרה וניסתה לצור קשר עם </w:t>
      </w:r>
      <w:r w:rsidR="00C061F7">
        <w:rPr>
          <w:rFonts w:ascii="David" w:hAnsi="David" w:hint="cs"/>
          <w:rtl/>
        </w:rPr>
        <w:t>מ'</w:t>
      </w:r>
      <w:r w:rsidRPr="008C1981">
        <w:rPr>
          <w:rFonts w:ascii="David" w:hAnsi="David"/>
          <w:rtl/>
        </w:rPr>
        <w:t xml:space="preserve">, עד קבלת חוות דעת מטעם ד"ר עמישר ביום 17.10.2021 בה נקבע בבירור כי מדובר בניכור הורי. לאחר מכן נקבע כי על </w:t>
      </w:r>
      <w:r w:rsidR="00820F03">
        <w:rPr>
          <w:rFonts w:ascii="David" w:hAnsi="David"/>
          <w:rtl/>
        </w:rPr>
        <w:t xml:space="preserve">מ' </w:t>
      </w:r>
      <w:r w:rsidRPr="008C1981">
        <w:rPr>
          <w:rFonts w:ascii="David" w:hAnsi="David"/>
          <w:rtl/>
        </w:rPr>
        <w:t xml:space="preserve">לעבור טיפול פרטני. האב בחר בד"ר שמשון, והאם פנתה אליו לצורך קביעת תכנית טיפולית, ואולם, אז התברר כי הטיפול לא נעשה במטרה לחדש הקשר אתה, ולפיכך, ביקשה להפסיק את הטיפול. </w:t>
      </w:r>
    </w:p>
    <w:p w:rsidR="009A3EDE" w:rsidRPr="008C1981" w:rsidRDefault="009A3EDE" w:rsidP="009A3EDE">
      <w:pPr>
        <w:spacing w:after="120" w:line="360" w:lineRule="auto"/>
        <w:ind w:left="1440" w:hanging="720"/>
        <w:jc w:val="both"/>
        <w:rPr>
          <w:rFonts w:ascii="David" w:hAnsi="David"/>
          <w:rtl/>
        </w:rPr>
      </w:pPr>
      <w:r w:rsidRPr="008C1981">
        <w:rPr>
          <w:rFonts w:ascii="David" w:hAnsi="David"/>
          <w:rtl/>
        </w:rPr>
        <w:t>ו.</w:t>
      </w:r>
      <w:r w:rsidRPr="008C1981">
        <w:rPr>
          <w:rFonts w:ascii="David" w:hAnsi="David"/>
          <w:rtl/>
        </w:rPr>
        <w:tab/>
        <w:t xml:space="preserve">האב ביצע כלפיה עוולה בנזיקין, באופן מתמשך, עת הפר ברגל גסה את חובותיו כהורה המבוססות, בין היתר, על חוק הכשרות המשפטית והאפוטרופסות, תוך אי מילוי החלטות בית המשפט והפרת זמני השהות שנקבעו בין </w:t>
      </w:r>
      <w:r w:rsidR="00820F03">
        <w:rPr>
          <w:rFonts w:ascii="David" w:hAnsi="David"/>
          <w:rtl/>
        </w:rPr>
        <w:t xml:space="preserve">מ' </w:t>
      </w:r>
      <w:r w:rsidRPr="008C1981">
        <w:rPr>
          <w:rFonts w:ascii="David" w:hAnsi="David"/>
          <w:rtl/>
        </w:rPr>
        <w:t xml:space="preserve">לבין האם. בגין ראש נזק זה עתרה האם לחייב האב בפיצויי בסך מיליון שקל חדש. </w:t>
      </w:r>
    </w:p>
    <w:p w:rsidR="009A3EDE" w:rsidRPr="008C1981" w:rsidRDefault="009A3EDE" w:rsidP="009A3EDE">
      <w:pPr>
        <w:spacing w:after="120" w:line="360" w:lineRule="auto"/>
        <w:jc w:val="both"/>
        <w:rPr>
          <w:rFonts w:ascii="David" w:hAnsi="David"/>
          <w:rtl/>
        </w:rPr>
      </w:pPr>
      <w:r w:rsidRPr="008C1981">
        <w:rPr>
          <w:rFonts w:ascii="David" w:hAnsi="David"/>
          <w:rtl/>
        </w:rPr>
        <w:t>8.</w:t>
      </w:r>
      <w:r w:rsidRPr="008C1981">
        <w:rPr>
          <w:rFonts w:ascii="David" w:hAnsi="David"/>
          <w:rtl/>
        </w:rPr>
        <w:tab/>
      </w:r>
      <w:r w:rsidRPr="008C1981">
        <w:rPr>
          <w:rFonts w:ascii="David" w:hAnsi="David"/>
          <w:u w:val="single"/>
          <w:rtl/>
        </w:rPr>
        <w:t>ביום 6.3.2022 הוגש כתב הגנה מתוקן מטעם האב, בו נטען כדלקמן</w:t>
      </w:r>
      <w:r w:rsidRPr="008C1981">
        <w:rPr>
          <w:rFonts w:ascii="David" w:hAnsi="David"/>
          <w:rtl/>
        </w:rPr>
        <w:t xml:space="preserve">: </w:t>
      </w:r>
    </w:p>
    <w:p w:rsidR="009A3EDE" w:rsidRPr="008C1981" w:rsidRDefault="009A3EDE" w:rsidP="009A3EDE">
      <w:pPr>
        <w:spacing w:after="120" w:line="360" w:lineRule="auto"/>
        <w:ind w:left="1440" w:hanging="720"/>
        <w:jc w:val="both"/>
        <w:rPr>
          <w:rFonts w:ascii="David" w:hAnsi="David"/>
          <w:rtl/>
        </w:rPr>
      </w:pPr>
      <w:r w:rsidRPr="008C1981">
        <w:rPr>
          <w:rFonts w:ascii="David" w:hAnsi="David"/>
          <w:rtl/>
        </w:rPr>
        <w:t>א.</w:t>
      </w:r>
      <w:r w:rsidRPr="008C1981">
        <w:rPr>
          <w:rFonts w:ascii="David" w:hAnsi="David"/>
          <w:rtl/>
        </w:rPr>
        <w:tab/>
        <w:t xml:space="preserve">התביעה </w:t>
      </w:r>
      <w:r>
        <w:rPr>
          <w:rFonts w:ascii="David" w:hAnsi="David"/>
          <w:rtl/>
        </w:rPr>
        <w:t xml:space="preserve">נעדרת כל בסיס עובדתי או משפטי. </w:t>
      </w:r>
      <w:r w:rsidRPr="008C1981">
        <w:rPr>
          <w:rFonts w:ascii="David" w:hAnsi="David"/>
          <w:rtl/>
        </w:rPr>
        <w:t>האב מכחיש את טענ</w:t>
      </w:r>
      <w:r>
        <w:rPr>
          <w:rFonts w:ascii="David" w:hAnsi="David" w:hint="cs"/>
          <w:rtl/>
        </w:rPr>
        <w:t>ו</w:t>
      </w:r>
      <w:r w:rsidRPr="008C1981">
        <w:rPr>
          <w:rFonts w:ascii="David" w:hAnsi="David"/>
          <w:rtl/>
        </w:rPr>
        <w:t xml:space="preserve">ת האם להסתה וניכור מצדו. </w:t>
      </w:r>
    </w:p>
    <w:p w:rsidR="009A3EDE" w:rsidRPr="008C1981" w:rsidRDefault="009A3EDE" w:rsidP="009A3EDE">
      <w:pPr>
        <w:spacing w:after="120" w:line="360" w:lineRule="auto"/>
        <w:ind w:left="1440" w:hanging="720"/>
        <w:jc w:val="both"/>
        <w:rPr>
          <w:rFonts w:ascii="David" w:hAnsi="David"/>
          <w:rtl/>
        </w:rPr>
      </w:pPr>
      <w:r w:rsidRPr="008C1981">
        <w:rPr>
          <w:rFonts w:ascii="David" w:hAnsi="David"/>
          <w:rtl/>
        </w:rPr>
        <w:t>ב.</w:t>
      </w:r>
      <w:r w:rsidRPr="008C1981">
        <w:rPr>
          <w:rFonts w:ascii="David" w:hAnsi="David"/>
          <w:rtl/>
        </w:rPr>
        <w:tab/>
        <w:t>האם מתעלמת ממעשיה</w:t>
      </w:r>
      <w:r>
        <w:rPr>
          <w:rFonts w:ascii="David" w:hAnsi="David" w:hint="cs"/>
          <w:rtl/>
        </w:rPr>
        <w:t>,</w:t>
      </w:r>
      <w:r w:rsidRPr="008C1981">
        <w:rPr>
          <w:rFonts w:ascii="David" w:hAnsi="David"/>
          <w:rtl/>
        </w:rPr>
        <w:t xml:space="preserve"> שגרמו ל</w:t>
      </w:r>
      <w:r w:rsidR="00820F03">
        <w:rPr>
          <w:rFonts w:ascii="David" w:hAnsi="David"/>
          <w:rtl/>
        </w:rPr>
        <w:t xml:space="preserve">מ' </w:t>
      </w:r>
      <w:r w:rsidRPr="008C1981">
        <w:rPr>
          <w:rFonts w:ascii="David" w:hAnsi="David"/>
          <w:rtl/>
        </w:rPr>
        <w:t xml:space="preserve">להתרחק ממנה. </w:t>
      </w:r>
    </w:p>
    <w:p w:rsidR="009A3EDE" w:rsidRPr="008C1981" w:rsidRDefault="009A3EDE" w:rsidP="009A3EDE">
      <w:pPr>
        <w:spacing w:after="120" w:line="360" w:lineRule="auto"/>
        <w:ind w:left="1440" w:hanging="720"/>
        <w:jc w:val="both"/>
        <w:rPr>
          <w:rFonts w:ascii="David" w:hAnsi="David"/>
          <w:rtl/>
        </w:rPr>
      </w:pPr>
      <w:r w:rsidRPr="008C1981">
        <w:rPr>
          <w:rFonts w:ascii="David" w:hAnsi="David"/>
          <w:rtl/>
        </w:rPr>
        <w:t>ג.</w:t>
      </w:r>
      <w:r w:rsidRPr="008C1981">
        <w:rPr>
          <w:rFonts w:ascii="David" w:hAnsi="David"/>
          <w:rtl/>
        </w:rPr>
        <w:tab/>
        <w:t>עוד מתעלמת האם מהגורמים המטפלים בעניין</w:t>
      </w:r>
      <w:r>
        <w:rPr>
          <w:rFonts w:ascii="David" w:hAnsi="David" w:hint="cs"/>
          <w:rtl/>
        </w:rPr>
        <w:t>,</w:t>
      </w:r>
      <w:r w:rsidRPr="008C1981">
        <w:rPr>
          <w:rFonts w:ascii="David" w:hAnsi="David"/>
          <w:rtl/>
        </w:rPr>
        <w:t xml:space="preserve"> כאשר פעם אחר פעם מצאו כי ק</w:t>
      </w:r>
      <w:r w:rsidR="00C154C5">
        <w:rPr>
          <w:rFonts w:ascii="David" w:hAnsi="David"/>
          <w:rtl/>
        </w:rPr>
        <w:t>יים צורך במתן טיפול פרטני למ</w:t>
      </w:r>
      <w:r w:rsidR="00C154C5">
        <w:rPr>
          <w:rFonts w:ascii="David" w:hAnsi="David" w:hint="cs"/>
          <w:rtl/>
        </w:rPr>
        <w:t>'</w:t>
      </w:r>
      <w:r w:rsidRPr="008C1981">
        <w:rPr>
          <w:rFonts w:ascii="David" w:hAnsi="David"/>
          <w:rtl/>
        </w:rPr>
        <w:t xml:space="preserve">. </w:t>
      </w:r>
    </w:p>
    <w:p w:rsidR="009A3EDE" w:rsidRPr="008C1981" w:rsidRDefault="009A3EDE" w:rsidP="009A3EDE">
      <w:pPr>
        <w:spacing w:after="120" w:line="360" w:lineRule="auto"/>
        <w:ind w:left="1440" w:hanging="720"/>
        <w:jc w:val="both"/>
        <w:rPr>
          <w:rFonts w:ascii="David" w:hAnsi="David"/>
          <w:rtl/>
        </w:rPr>
      </w:pPr>
      <w:r w:rsidRPr="008C1981">
        <w:rPr>
          <w:rFonts w:ascii="David" w:hAnsi="David"/>
          <w:rtl/>
        </w:rPr>
        <w:t>ד.</w:t>
      </w:r>
      <w:r w:rsidR="00C154C5">
        <w:rPr>
          <w:rFonts w:ascii="David" w:hAnsi="David"/>
          <w:rtl/>
        </w:rPr>
        <w:tab/>
        <w:t>האם פתחה בהליך נזקקות נגד מ</w:t>
      </w:r>
      <w:r w:rsidR="00C154C5">
        <w:rPr>
          <w:rFonts w:ascii="David" w:hAnsi="David" w:hint="cs"/>
          <w:rtl/>
        </w:rPr>
        <w:t>'</w:t>
      </w:r>
      <w:r w:rsidRPr="008C1981">
        <w:rPr>
          <w:rFonts w:ascii="David" w:hAnsi="David"/>
          <w:rtl/>
        </w:rPr>
        <w:t xml:space="preserve">, דרשה להפנותו לבדיקה פסיכיאטרית ועוד. </w:t>
      </w:r>
    </w:p>
    <w:p w:rsidR="009A3EDE" w:rsidRPr="008C1981" w:rsidRDefault="009A3EDE" w:rsidP="009A3EDE">
      <w:pPr>
        <w:spacing w:after="120" w:line="360" w:lineRule="auto"/>
        <w:ind w:left="1440" w:hanging="720"/>
        <w:jc w:val="both"/>
        <w:rPr>
          <w:rFonts w:ascii="David" w:hAnsi="David"/>
          <w:rtl/>
        </w:rPr>
      </w:pPr>
      <w:r w:rsidRPr="008C1981">
        <w:rPr>
          <w:rFonts w:ascii="David" w:hAnsi="David"/>
          <w:rtl/>
        </w:rPr>
        <w:t>ה.</w:t>
      </w:r>
      <w:r w:rsidRPr="008C1981">
        <w:rPr>
          <w:rFonts w:ascii="David" w:hAnsi="David"/>
          <w:rtl/>
        </w:rPr>
        <w:tab/>
        <w:t xml:space="preserve">האובססיביות של האם לכפיית רצונה על הילדים, גרם לפגיעה בקשר עם </w:t>
      </w:r>
      <w:r w:rsidR="00820F03">
        <w:rPr>
          <w:rFonts w:ascii="David" w:hAnsi="David"/>
          <w:rtl/>
        </w:rPr>
        <w:t xml:space="preserve">מ' </w:t>
      </w:r>
      <w:r w:rsidRPr="008C1981">
        <w:rPr>
          <w:rFonts w:ascii="David" w:hAnsi="David"/>
          <w:rtl/>
        </w:rPr>
        <w:t xml:space="preserve">ולנתק ביניהם. </w:t>
      </w:r>
      <w:r w:rsidR="00820F03">
        <w:rPr>
          <w:rFonts w:ascii="David" w:hAnsi="David"/>
          <w:rtl/>
        </w:rPr>
        <w:t xml:space="preserve">מ' </w:t>
      </w:r>
      <w:r w:rsidRPr="008C1981">
        <w:rPr>
          <w:rFonts w:ascii="David" w:hAnsi="David"/>
          <w:rtl/>
        </w:rPr>
        <w:t>סובל מהתנהלות האם ולא מניכור מצד האב.</w:t>
      </w:r>
    </w:p>
    <w:p w:rsidR="009A3EDE" w:rsidRPr="008C1981" w:rsidRDefault="009A3EDE" w:rsidP="009A3EDE">
      <w:pPr>
        <w:spacing w:after="120" w:line="360" w:lineRule="auto"/>
        <w:ind w:left="1440" w:hanging="720"/>
        <w:jc w:val="both"/>
        <w:rPr>
          <w:rFonts w:ascii="David" w:hAnsi="David"/>
          <w:rtl/>
        </w:rPr>
      </w:pPr>
      <w:r w:rsidRPr="008C1981">
        <w:rPr>
          <w:rFonts w:ascii="David" w:hAnsi="David"/>
          <w:rtl/>
        </w:rPr>
        <w:tab/>
        <w:t>האב הפנה לתסקיר מיום 27.11.2014 שהוגש סמוך לאירוע</w:t>
      </w:r>
      <w:r>
        <w:rPr>
          <w:rFonts w:ascii="David" w:hAnsi="David" w:hint="cs"/>
          <w:rtl/>
        </w:rPr>
        <w:t xml:space="preserve"> 2014</w:t>
      </w:r>
      <w:r w:rsidRPr="008C1981">
        <w:rPr>
          <w:rFonts w:ascii="David" w:hAnsi="David"/>
          <w:rtl/>
        </w:rPr>
        <w:t xml:space="preserve"> וכן לעדכון מיום 8.12.2014, שם נזכר כי </w:t>
      </w:r>
      <w:r w:rsidR="00820F03">
        <w:rPr>
          <w:rFonts w:ascii="David" w:hAnsi="David"/>
          <w:rtl/>
        </w:rPr>
        <w:t xml:space="preserve">מ' </w:t>
      </w:r>
      <w:r w:rsidRPr="008C1981">
        <w:rPr>
          <w:rFonts w:ascii="David" w:hAnsi="David"/>
          <w:rtl/>
        </w:rPr>
        <w:t xml:space="preserve">חושש מהאם. </w:t>
      </w:r>
    </w:p>
    <w:p w:rsidR="009A3EDE" w:rsidRPr="008C1981" w:rsidRDefault="009A3EDE" w:rsidP="009A3EDE">
      <w:pPr>
        <w:spacing w:after="120" w:line="360" w:lineRule="auto"/>
        <w:ind w:left="1440"/>
        <w:jc w:val="both"/>
        <w:rPr>
          <w:rFonts w:ascii="David" w:hAnsi="David"/>
          <w:rtl/>
        </w:rPr>
      </w:pPr>
      <w:r w:rsidRPr="008C1981">
        <w:rPr>
          <w:rFonts w:ascii="David" w:hAnsi="David"/>
          <w:rtl/>
        </w:rPr>
        <w:t xml:space="preserve">ביחס לחוות דעת ד"ר עמישר שהאם מתבססת עליה, צוין מפיו של </w:t>
      </w:r>
      <w:r w:rsidR="00820F03">
        <w:rPr>
          <w:rFonts w:ascii="David" w:hAnsi="David"/>
          <w:rtl/>
        </w:rPr>
        <w:t xml:space="preserve">מ' </w:t>
      </w:r>
      <w:r w:rsidRPr="008C1981">
        <w:rPr>
          <w:rFonts w:ascii="David" w:hAnsi="David"/>
          <w:rtl/>
        </w:rPr>
        <w:t xml:space="preserve">כי הוא מסרב לפגוש את האם. בנוסף, המומחית מעולם לא נחקרה </w:t>
      </w:r>
      <w:r>
        <w:rPr>
          <w:rFonts w:ascii="David" w:hAnsi="David" w:hint="cs"/>
          <w:rtl/>
        </w:rPr>
        <w:t xml:space="preserve">על </w:t>
      </w:r>
      <w:r w:rsidRPr="008C1981">
        <w:rPr>
          <w:rFonts w:ascii="David" w:hAnsi="David"/>
          <w:rtl/>
        </w:rPr>
        <w:t>אוד</w:t>
      </w:r>
      <w:r>
        <w:rPr>
          <w:rFonts w:ascii="David" w:hAnsi="David"/>
          <w:rtl/>
        </w:rPr>
        <w:t xml:space="preserve">ות חוות דעת זו ולכך יש משמעות. </w:t>
      </w:r>
      <w:r w:rsidR="00820F03">
        <w:rPr>
          <w:rFonts w:ascii="David" w:hAnsi="David"/>
          <w:rtl/>
        </w:rPr>
        <w:t xml:space="preserve">מ' </w:t>
      </w:r>
      <w:r w:rsidRPr="008C1981">
        <w:rPr>
          <w:rFonts w:ascii="David" w:hAnsi="David"/>
          <w:rtl/>
        </w:rPr>
        <w:t>חש מתוסכל לאור התנהלות האם</w:t>
      </w:r>
      <w:r>
        <w:rPr>
          <w:rFonts w:ascii="David" w:hAnsi="David" w:hint="cs"/>
          <w:rtl/>
        </w:rPr>
        <w:t>.</w:t>
      </w:r>
    </w:p>
    <w:p w:rsidR="009A3EDE" w:rsidRPr="008C1981" w:rsidRDefault="009A3EDE" w:rsidP="009A3EDE">
      <w:pPr>
        <w:spacing w:after="120" w:line="360" w:lineRule="auto"/>
        <w:ind w:left="1440" w:hanging="720"/>
        <w:jc w:val="both"/>
        <w:rPr>
          <w:rFonts w:ascii="David" w:hAnsi="David"/>
          <w:rtl/>
        </w:rPr>
      </w:pPr>
      <w:r w:rsidRPr="008C1981">
        <w:rPr>
          <w:rFonts w:ascii="David" w:hAnsi="David"/>
          <w:rtl/>
        </w:rPr>
        <w:t>ו.</w:t>
      </w:r>
      <w:r w:rsidRPr="008C1981">
        <w:rPr>
          <w:rFonts w:ascii="David" w:hAnsi="David"/>
          <w:rtl/>
        </w:rPr>
        <w:tab/>
        <w:t>אין קשר בין ההליך הפלילי שננקט נגד הא</w:t>
      </w:r>
      <w:r w:rsidR="00C154C5">
        <w:rPr>
          <w:rFonts w:ascii="David" w:hAnsi="David"/>
          <w:rtl/>
        </w:rPr>
        <w:t>ב לבין ניתוק הקשר בין האם ומ</w:t>
      </w:r>
      <w:r w:rsidR="00C154C5">
        <w:rPr>
          <w:rFonts w:ascii="David" w:hAnsi="David" w:hint="cs"/>
          <w:rtl/>
        </w:rPr>
        <w:t>'</w:t>
      </w:r>
      <w:r w:rsidRPr="008C1981">
        <w:rPr>
          <w:rFonts w:ascii="David" w:hAnsi="David"/>
          <w:rtl/>
        </w:rPr>
        <w:t xml:space="preserve">. המצב נוצר אך ורק עקב התנהלותה החמורה של האם שגרמה לנתק. האם התרגלה להעליל על האב לרבות תלונות שווא במשטרה. </w:t>
      </w:r>
    </w:p>
    <w:p w:rsidR="009A3EDE" w:rsidRPr="008C1981" w:rsidRDefault="009A3EDE" w:rsidP="009A3EDE">
      <w:pPr>
        <w:spacing w:after="120" w:line="360" w:lineRule="auto"/>
        <w:ind w:left="1440" w:hanging="720"/>
        <w:jc w:val="both"/>
        <w:rPr>
          <w:rFonts w:ascii="David" w:hAnsi="David"/>
          <w:rtl/>
        </w:rPr>
      </w:pPr>
      <w:r w:rsidRPr="008C1981">
        <w:rPr>
          <w:rFonts w:ascii="David" w:hAnsi="David"/>
          <w:rtl/>
        </w:rPr>
        <w:lastRenderedPageBreak/>
        <w:t>ז.</w:t>
      </w:r>
      <w:r w:rsidRPr="008C1981">
        <w:rPr>
          <w:rFonts w:ascii="David" w:hAnsi="David"/>
          <w:rtl/>
        </w:rPr>
        <w:tab/>
        <w:t xml:space="preserve">יש להתייחס לניכור הורי כאשר אין מקום להצביע על סיבה אחרת לסירוב הילד לקשר עם מי מהוריו. האב שיתף פעולה, הסיע את </w:t>
      </w:r>
      <w:r w:rsidR="00820F03">
        <w:rPr>
          <w:rFonts w:ascii="David" w:hAnsi="David"/>
          <w:rtl/>
        </w:rPr>
        <w:t xml:space="preserve">מ' </w:t>
      </w:r>
      <w:r w:rsidRPr="008C1981">
        <w:rPr>
          <w:rFonts w:ascii="David" w:hAnsi="David"/>
          <w:rtl/>
        </w:rPr>
        <w:t>לטיפולים, שילם מכיסו, ולפי דו"ח הפסיכולוג הקליני פרופ' שמשון רובין מיום 31.12.2018, נראה כי שני ההורים מבינים את חשיבות חידוש הקשר. האב מכחיש הפרת הוראות שיפוטיות, והפנה לפסיקה ובה נאמר כי סרבנות קשר אינה שם נרדף לניכור הורי.</w:t>
      </w:r>
    </w:p>
    <w:p w:rsidR="009A3EDE" w:rsidRPr="008C1981" w:rsidRDefault="009A3EDE" w:rsidP="00C154C5">
      <w:pPr>
        <w:spacing w:after="120" w:line="360" w:lineRule="auto"/>
        <w:ind w:left="1440" w:hanging="720"/>
        <w:jc w:val="both"/>
        <w:rPr>
          <w:rFonts w:ascii="David" w:hAnsi="David"/>
          <w:rtl/>
        </w:rPr>
      </w:pPr>
      <w:r w:rsidRPr="008C1981">
        <w:rPr>
          <w:rFonts w:ascii="David" w:hAnsi="David"/>
          <w:rtl/>
        </w:rPr>
        <w:t>ח.</w:t>
      </w:r>
      <w:r w:rsidRPr="008C1981">
        <w:rPr>
          <w:rFonts w:ascii="David" w:hAnsi="David"/>
          <w:rtl/>
        </w:rPr>
        <w:tab/>
        <w:t>לא ברור כיצד הגיעה האם</w:t>
      </w:r>
      <w:r w:rsidR="00C154C5">
        <w:rPr>
          <w:rFonts w:ascii="David" w:hAnsi="David"/>
          <w:rtl/>
        </w:rPr>
        <w:t xml:space="preserve"> לסכום נזק בסך של מיליון שקלים.</w:t>
      </w:r>
      <w:r w:rsidRPr="008C1981">
        <w:rPr>
          <w:rFonts w:ascii="David" w:hAnsi="David"/>
          <w:rtl/>
        </w:rPr>
        <w:t xml:space="preserve"> בכל מקרה תביעה נזיקית ל</w:t>
      </w:r>
      <w:r w:rsidR="00C154C5">
        <w:rPr>
          <w:rFonts w:ascii="David" w:hAnsi="David"/>
          <w:rtl/>
        </w:rPr>
        <w:t>א תביא לחידוש הקשר בין האם למ</w:t>
      </w:r>
      <w:r w:rsidR="00C154C5">
        <w:rPr>
          <w:rFonts w:ascii="David" w:hAnsi="David" w:hint="cs"/>
          <w:rtl/>
        </w:rPr>
        <w:t>'</w:t>
      </w:r>
      <w:r w:rsidRPr="008C1981">
        <w:rPr>
          <w:rFonts w:ascii="David" w:hAnsi="David"/>
          <w:rtl/>
        </w:rPr>
        <w:t xml:space="preserve">. </w:t>
      </w:r>
    </w:p>
    <w:p w:rsidR="009A3EDE" w:rsidRPr="008C1981" w:rsidRDefault="009A3EDE" w:rsidP="009A3EDE">
      <w:pPr>
        <w:spacing w:after="120" w:line="360" w:lineRule="auto"/>
        <w:jc w:val="both"/>
        <w:rPr>
          <w:rFonts w:ascii="David" w:hAnsi="David"/>
          <w:b/>
          <w:bCs/>
          <w:u w:val="single"/>
          <w:rtl/>
        </w:rPr>
      </w:pPr>
    </w:p>
    <w:p w:rsidR="009A3EDE" w:rsidRPr="008C1981" w:rsidRDefault="009A3EDE" w:rsidP="009A3EDE">
      <w:pPr>
        <w:spacing w:after="120" w:line="360" w:lineRule="auto"/>
        <w:jc w:val="both"/>
        <w:rPr>
          <w:rFonts w:ascii="David" w:hAnsi="David"/>
          <w:b/>
          <w:bCs/>
          <w:u w:val="single"/>
          <w:rtl/>
        </w:rPr>
      </w:pPr>
      <w:r w:rsidRPr="008C1981">
        <w:rPr>
          <w:rFonts w:ascii="David" w:hAnsi="David"/>
          <w:b/>
          <w:bCs/>
          <w:u w:val="single"/>
          <w:rtl/>
        </w:rPr>
        <w:t>פסק הדין קמא</w:t>
      </w:r>
    </w:p>
    <w:p w:rsidR="009A3EDE" w:rsidRPr="009F2F99" w:rsidRDefault="009A3EDE" w:rsidP="009A3EDE">
      <w:pPr>
        <w:spacing w:after="120" w:line="360" w:lineRule="auto"/>
        <w:ind w:left="720" w:hanging="720"/>
        <w:jc w:val="both"/>
        <w:rPr>
          <w:rFonts w:ascii="David" w:hAnsi="David"/>
          <w:rtl/>
        </w:rPr>
      </w:pPr>
      <w:r w:rsidRPr="008C1981">
        <w:rPr>
          <w:rFonts w:ascii="David" w:hAnsi="David"/>
          <w:rtl/>
        </w:rPr>
        <w:t>9.</w:t>
      </w:r>
      <w:r w:rsidRPr="008C1981">
        <w:rPr>
          <w:rFonts w:ascii="David" w:hAnsi="David"/>
          <w:rtl/>
        </w:rPr>
        <w:tab/>
        <w:t>בפתח הכרעתו בתביעה הנזיקית</w:t>
      </w:r>
      <w:r>
        <w:rPr>
          <w:rFonts w:ascii="David" w:hAnsi="David" w:hint="cs"/>
          <w:rtl/>
        </w:rPr>
        <w:t>,</w:t>
      </w:r>
      <w:r w:rsidRPr="008C1981">
        <w:rPr>
          <w:rFonts w:ascii="David" w:hAnsi="David"/>
          <w:rtl/>
        </w:rPr>
        <w:t xml:space="preserve"> ציין השופט קמא כי הפסיקה הכירה בתופעת ניכור הורי כמקימה עילת תביעה נזיקית, הבאה תחת עוולת הרשלנות ו/או הפרת חובה חקוקה הקבועות בפקודת הנזיקין, תשל</w:t>
      </w:r>
      <w:r>
        <w:rPr>
          <w:rFonts w:ascii="David" w:hAnsi="David" w:hint="cs"/>
          <w:rtl/>
        </w:rPr>
        <w:t>"</w:t>
      </w:r>
      <w:r>
        <w:rPr>
          <w:rFonts w:ascii="David" w:hAnsi="David"/>
          <w:rtl/>
        </w:rPr>
        <w:t>א-1971</w:t>
      </w:r>
      <w:r>
        <w:rPr>
          <w:rFonts w:ascii="David" w:hAnsi="David" w:hint="cs"/>
          <w:rtl/>
        </w:rPr>
        <w:t xml:space="preserve"> (להלן: </w:t>
      </w:r>
      <w:r w:rsidRPr="009F2F99">
        <w:rPr>
          <w:rFonts w:ascii="David" w:hAnsi="David" w:hint="cs"/>
          <w:b/>
          <w:bCs/>
          <w:rtl/>
        </w:rPr>
        <w:t>"פקודת הנזיקין</w:t>
      </w:r>
      <w:r>
        <w:rPr>
          <w:rFonts w:ascii="David" w:hAnsi="David" w:hint="cs"/>
          <w:rtl/>
        </w:rPr>
        <w:t>").</w:t>
      </w:r>
    </w:p>
    <w:p w:rsidR="009A3EDE" w:rsidRPr="008C1981" w:rsidRDefault="009A3EDE" w:rsidP="009A3EDE">
      <w:pPr>
        <w:spacing w:after="120" w:line="360" w:lineRule="auto"/>
        <w:ind w:left="720"/>
        <w:jc w:val="both"/>
        <w:rPr>
          <w:rFonts w:ascii="David" w:hAnsi="David"/>
          <w:rtl/>
        </w:rPr>
      </w:pPr>
      <w:r w:rsidRPr="008C1981">
        <w:rPr>
          <w:rFonts w:ascii="David" w:hAnsi="David"/>
          <w:rtl/>
        </w:rPr>
        <w:t>הדגיש השופט קמא כי ההכרעה בתיקים אלה, והקביעה האם הייתה הסתה, שהביאה לסרבנות קשר ולניכור הורי, והאם היא עולה כדי עוולה נזיקית, תיעשה על פי נסיבותיו של כל מקרה ומקרה.</w:t>
      </w:r>
    </w:p>
    <w:p w:rsidR="009A3EDE" w:rsidRPr="008C1981" w:rsidRDefault="009A3EDE" w:rsidP="009A3EDE">
      <w:pPr>
        <w:spacing w:after="120" w:line="360" w:lineRule="auto"/>
        <w:ind w:left="720"/>
        <w:jc w:val="both"/>
        <w:rPr>
          <w:rFonts w:ascii="David" w:hAnsi="David"/>
          <w:rtl/>
        </w:rPr>
      </w:pPr>
      <w:r w:rsidRPr="008C1981">
        <w:rPr>
          <w:rFonts w:ascii="David" w:hAnsi="David"/>
          <w:rtl/>
        </w:rPr>
        <w:t>בנדון נפנה לדבריו של השופט קמא בסעיפים 12-15 לפסק הדין קמא.</w:t>
      </w:r>
    </w:p>
    <w:p w:rsidR="009A3EDE" w:rsidRPr="008C1981" w:rsidRDefault="009A3EDE" w:rsidP="009A3EDE">
      <w:pPr>
        <w:spacing w:after="120" w:line="360" w:lineRule="auto"/>
        <w:ind w:left="720" w:hanging="720"/>
        <w:jc w:val="both"/>
        <w:rPr>
          <w:rFonts w:ascii="David" w:hAnsi="David"/>
          <w:rtl/>
        </w:rPr>
      </w:pPr>
      <w:r w:rsidRPr="008C1981">
        <w:rPr>
          <w:rFonts w:ascii="David" w:hAnsi="David"/>
          <w:rtl/>
        </w:rPr>
        <w:t>10.</w:t>
      </w:r>
      <w:r w:rsidRPr="008C1981">
        <w:rPr>
          <w:rFonts w:ascii="David" w:hAnsi="David"/>
          <w:rtl/>
        </w:rPr>
        <w:tab/>
        <w:t xml:space="preserve">בהמשך פסק הדין בחן השופט קמא, האם בנסיבות המקרה דנן הוכח ביצוען של עוולות הרשלנות והפרת חובה חקוקה מצידו של האב כלפי האם.  </w:t>
      </w:r>
    </w:p>
    <w:p w:rsidR="009A3EDE" w:rsidRPr="008C1981" w:rsidRDefault="009A3EDE" w:rsidP="009A3EDE">
      <w:pPr>
        <w:spacing w:after="120" w:line="360" w:lineRule="auto"/>
        <w:ind w:left="720" w:hanging="720"/>
        <w:jc w:val="both"/>
        <w:rPr>
          <w:rFonts w:ascii="David" w:hAnsi="David"/>
          <w:rtl/>
        </w:rPr>
      </w:pPr>
      <w:r w:rsidRPr="008C1981">
        <w:rPr>
          <w:rFonts w:ascii="David" w:hAnsi="David"/>
          <w:rtl/>
        </w:rPr>
        <w:t>11.</w:t>
      </w:r>
      <w:r w:rsidRPr="008C1981">
        <w:rPr>
          <w:rFonts w:ascii="David" w:hAnsi="David"/>
          <w:rtl/>
        </w:rPr>
        <w:tab/>
        <w:t xml:space="preserve">בסעיפים 16-71 לפסק הדין </w:t>
      </w:r>
      <w:r>
        <w:rPr>
          <w:rFonts w:ascii="David" w:hAnsi="David" w:hint="cs"/>
          <w:rtl/>
        </w:rPr>
        <w:t>קבע</w:t>
      </w:r>
      <w:r w:rsidRPr="008C1981">
        <w:rPr>
          <w:rFonts w:ascii="David" w:hAnsi="David"/>
          <w:rtl/>
        </w:rPr>
        <w:t xml:space="preserve"> השופט קמא את ביצוע עוולת הרשלנות מצידו של האב כלפי האם בהתייחס למעשים ו/או מחדלים המיוחסים לו, שהביאו לני</w:t>
      </w:r>
      <w:r>
        <w:rPr>
          <w:rFonts w:ascii="David" w:hAnsi="David"/>
          <w:rtl/>
        </w:rPr>
        <w:t xml:space="preserve">כור ההורי מצידו של </w:t>
      </w:r>
      <w:r w:rsidR="00820F03">
        <w:rPr>
          <w:rFonts w:ascii="David" w:hAnsi="David"/>
          <w:rtl/>
        </w:rPr>
        <w:t xml:space="preserve">מ' </w:t>
      </w:r>
      <w:r>
        <w:rPr>
          <w:rFonts w:ascii="David" w:hAnsi="David"/>
          <w:rtl/>
        </w:rPr>
        <w:t>כלפי א</w:t>
      </w:r>
      <w:r w:rsidRPr="008C1981">
        <w:rPr>
          <w:rFonts w:ascii="David" w:hAnsi="David"/>
          <w:rtl/>
        </w:rPr>
        <w:t xml:space="preserve">מו. </w:t>
      </w:r>
    </w:p>
    <w:p w:rsidR="009A3EDE" w:rsidRPr="008C1981" w:rsidRDefault="009A3EDE" w:rsidP="009A3EDE">
      <w:pPr>
        <w:spacing w:after="120" w:line="360" w:lineRule="auto"/>
        <w:ind w:left="720" w:hanging="720"/>
        <w:jc w:val="both"/>
        <w:rPr>
          <w:rFonts w:ascii="David" w:hAnsi="David"/>
          <w:rtl/>
        </w:rPr>
      </w:pPr>
      <w:r w:rsidRPr="008C1981">
        <w:rPr>
          <w:rFonts w:ascii="David" w:hAnsi="David"/>
          <w:rtl/>
        </w:rPr>
        <w:tab/>
        <w:t>לאחר בחינת שלושת יסודות עוולת הרשלנות הקבועה בסעיף 35 לפ</w:t>
      </w:r>
      <w:r>
        <w:rPr>
          <w:rFonts w:ascii="David" w:hAnsi="David"/>
          <w:rtl/>
        </w:rPr>
        <w:t xml:space="preserve">קודת הנזיקין </w:t>
      </w:r>
      <w:r>
        <w:rPr>
          <w:rFonts w:ascii="David" w:hAnsi="David" w:hint="cs"/>
          <w:rtl/>
        </w:rPr>
        <w:t>[</w:t>
      </w:r>
      <w:r w:rsidRPr="008C1981">
        <w:rPr>
          <w:rFonts w:ascii="David" w:hAnsi="David"/>
          <w:rtl/>
        </w:rPr>
        <w:t>חובת זהירות מושגית וקונקרטית, הפרת חובת הזהירות האמורה וגרימת נזק בעקבות כך (קשר סיבתי עובדתי ומשפטי)</w:t>
      </w:r>
      <w:r>
        <w:rPr>
          <w:rFonts w:ascii="David" w:hAnsi="David" w:hint="cs"/>
          <w:rtl/>
        </w:rPr>
        <w:t xml:space="preserve">] </w:t>
      </w:r>
      <w:r w:rsidRPr="008C1981">
        <w:rPr>
          <w:rFonts w:ascii="David" w:hAnsi="David"/>
          <w:rtl/>
        </w:rPr>
        <w:t>שהתקיימו במקרה דנן (תוך פירוט עובדתי נרחב), קבע השופט קמא בסעיף 46 לפסק הדין קמא כדלקמן:</w:t>
      </w:r>
    </w:p>
    <w:p w:rsidR="009A3EDE" w:rsidRPr="008C1981" w:rsidRDefault="009A3EDE" w:rsidP="00C154C5">
      <w:pPr>
        <w:spacing w:after="120" w:line="360" w:lineRule="auto"/>
        <w:ind w:left="1440" w:right="709"/>
        <w:jc w:val="both"/>
        <w:rPr>
          <w:rFonts w:ascii="David" w:hAnsi="David"/>
          <w:rtl/>
        </w:rPr>
      </w:pPr>
      <w:r w:rsidRPr="008C1981">
        <w:rPr>
          <w:rFonts w:ascii="David" w:hAnsi="David"/>
          <w:b/>
          <w:bCs/>
          <w:rtl/>
        </w:rPr>
        <w:t>"סיכום ביניים, לנוכח כלל האמור לעיל, הגעתי למסקנה לפיה עלה בידי האם להוכיח כי האב התרשל בכך שלא פעל באופן אקטיבי, ואף פגע וסיכל, את האפשרות לקיום משמורת משותפת, וכן בכך שלא עודד ולא וידא קיומו ש</w:t>
      </w:r>
      <w:r w:rsidR="00C154C5">
        <w:rPr>
          <w:rFonts w:ascii="David" w:hAnsi="David"/>
          <w:b/>
          <w:bCs/>
          <w:rtl/>
        </w:rPr>
        <w:t>ל קשר תקין  ורציף בין האם למ</w:t>
      </w:r>
      <w:r w:rsidR="00C154C5">
        <w:rPr>
          <w:rFonts w:ascii="David" w:hAnsi="David" w:hint="cs"/>
          <w:b/>
          <w:bCs/>
          <w:rtl/>
        </w:rPr>
        <w:t>'</w:t>
      </w:r>
      <w:r w:rsidR="00C154C5">
        <w:rPr>
          <w:rFonts w:ascii="David" w:hAnsi="David"/>
          <w:b/>
          <w:bCs/>
          <w:rtl/>
        </w:rPr>
        <w:t xml:space="preserve">. </w:t>
      </w:r>
      <w:r w:rsidRPr="008C1981">
        <w:rPr>
          <w:rFonts w:ascii="David" w:hAnsi="David"/>
          <w:b/>
          <w:bCs/>
          <w:rtl/>
        </w:rPr>
        <w:t>האב התנגד להמלצה לעריכת בדיקה פסיכיאטרית למ</w:t>
      </w:r>
      <w:r w:rsidR="00C154C5">
        <w:rPr>
          <w:rFonts w:ascii="David" w:hAnsi="David" w:hint="cs"/>
          <w:b/>
          <w:bCs/>
          <w:rtl/>
        </w:rPr>
        <w:t>'</w:t>
      </w:r>
      <w:r w:rsidRPr="008C1981">
        <w:rPr>
          <w:rFonts w:ascii="David" w:hAnsi="David"/>
          <w:b/>
          <w:bCs/>
          <w:rtl/>
        </w:rPr>
        <w:t xml:space="preserve">, זימן את </w:t>
      </w:r>
      <w:r w:rsidR="00820F03">
        <w:rPr>
          <w:rFonts w:ascii="David" w:hAnsi="David"/>
          <w:b/>
          <w:bCs/>
          <w:rtl/>
        </w:rPr>
        <w:t xml:space="preserve">מ' </w:t>
      </w:r>
      <w:r w:rsidRPr="008C1981">
        <w:rPr>
          <w:rFonts w:ascii="David" w:hAnsi="David"/>
          <w:b/>
          <w:bCs/>
          <w:rtl/>
        </w:rPr>
        <w:t>להעיד לטובתו במשפט הפלילי, ובהמשך, נו</w:t>
      </w:r>
      <w:r w:rsidR="00C154C5">
        <w:rPr>
          <w:rFonts w:ascii="David" w:hAnsi="David"/>
          <w:b/>
          <w:bCs/>
          <w:rtl/>
        </w:rPr>
        <w:t>תק לחלוטין הקשר בין האם למ</w:t>
      </w:r>
      <w:r w:rsidR="00C154C5">
        <w:rPr>
          <w:rFonts w:ascii="David" w:hAnsi="David" w:hint="cs"/>
          <w:b/>
          <w:bCs/>
          <w:rtl/>
        </w:rPr>
        <w:t>'</w:t>
      </w:r>
      <w:r w:rsidR="00C154C5">
        <w:rPr>
          <w:rFonts w:ascii="David" w:hAnsi="David"/>
          <w:b/>
          <w:bCs/>
          <w:rtl/>
        </w:rPr>
        <w:t>.</w:t>
      </w:r>
      <w:r w:rsidRPr="008C1981">
        <w:rPr>
          <w:rFonts w:ascii="David" w:hAnsi="David"/>
          <w:b/>
          <w:bCs/>
          <w:rtl/>
        </w:rPr>
        <w:t xml:space="preserve"> אין ספק כי האב ניכר והסית את </w:t>
      </w:r>
      <w:r w:rsidR="00C154C5">
        <w:rPr>
          <w:rFonts w:ascii="David" w:hAnsi="David" w:hint="cs"/>
          <w:b/>
          <w:bCs/>
          <w:rtl/>
        </w:rPr>
        <w:t>מ'</w:t>
      </w:r>
      <w:r w:rsidRPr="008C1981">
        <w:rPr>
          <w:rFonts w:ascii="David" w:hAnsi="David"/>
          <w:b/>
          <w:bCs/>
          <w:rtl/>
        </w:rPr>
        <w:t>"</w:t>
      </w:r>
      <w:r w:rsidRPr="008C1981">
        <w:rPr>
          <w:rFonts w:ascii="David" w:hAnsi="David"/>
          <w:rtl/>
        </w:rPr>
        <w:t>.</w:t>
      </w:r>
    </w:p>
    <w:p w:rsidR="009A3EDE" w:rsidRPr="008C1981" w:rsidRDefault="009A3EDE" w:rsidP="009A3EDE">
      <w:pPr>
        <w:spacing w:after="120" w:line="360" w:lineRule="auto"/>
        <w:ind w:right="709"/>
        <w:jc w:val="both"/>
        <w:rPr>
          <w:rFonts w:ascii="David" w:hAnsi="David"/>
          <w:rtl/>
        </w:rPr>
      </w:pPr>
      <w:r w:rsidRPr="008C1981">
        <w:rPr>
          <w:rFonts w:ascii="David" w:hAnsi="David"/>
          <w:b/>
          <w:bCs/>
          <w:rtl/>
        </w:rPr>
        <w:tab/>
      </w:r>
      <w:r w:rsidRPr="008C1981">
        <w:rPr>
          <w:rFonts w:ascii="David" w:hAnsi="David"/>
          <w:u w:val="single"/>
          <w:rtl/>
        </w:rPr>
        <w:t>וכן (סעיף 71 לפסק הדין קמא)</w:t>
      </w:r>
      <w:r w:rsidRPr="008C1981">
        <w:rPr>
          <w:rFonts w:ascii="David" w:hAnsi="David"/>
          <w:rtl/>
        </w:rPr>
        <w:t>:</w:t>
      </w:r>
    </w:p>
    <w:p w:rsidR="009A3EDE" w:rsidRPr="008C1981" w:rsidRDefault="009A3EDE" w:rsidP="00C154C5">
      <w:pPr>
        <w:spacing w:after="120" w:line="360" w:lineRule="auto"/>
        <w:ind w:left="1440" w:right="709"/>
        <w:jc w:val="both"/>
        <w:rPr>
          <w:rFonts w:ascii="David" w:hAnsi="David"/>
          <w:b/>
          <w:bCs/>
          <w:rtl/>
        </w:rPr>
      </w:pPr>
      <w:r w:rsidRPr="008C1981">
        <w:rPr>
          <w:rFonts w:ascii="David" w:hAnsi="David"/>
          <w:b/>
          <w:bCs/>
          <w:rtl/>
        </w:rPr>
        <w:t xml:space="preserve">"נחה דעתי כי קיים קשר סיבתי בין התנהגותו של הנתבע </w:t>
      </w:r>
      <w:r w:rsidRPr="008C1981">
        <w:rPr>
          <w:rFonts w:ascii="David" w:hAnsi="David"/>
          <w:rtl/>
        </w:rPr>
        <w:t>(האב – ח"ש)</w:t>
      </w:r>
      <w:r w:rsidRPr="008C1981">
        <w:rPr>
          <w:rFonts w:ascii="David" w:hAnsi="David"/>
          <w:b/>
          <w:bCs/>
          <w:rtl/>
        </w:rPr>
        <w:t xml:space="preserve">, לבין הנזק שאינו ממוני שנגרם לאם. הוכח  כי  הנתק בין </w:t>
      </w:r>
      <w:r w:rsidR="00820F03">
        <w:rPr>
          <w:rFonts w:ascii="David" w:hAnsi="David"/>
          <w:b/>
          <w:bCs/>
          <w:rtl/>
        </w:rPr>
        <w:t xml:space="preserve">מ' </w:t>
      </w:r>
      <w:r w:rsidRPr="008C1981">
        <w:rPr>
          <w:rFonts w:ascii="David" w:hAnsi="David"/>
          <w:b/>
          <w:bCs/>
          <w:rtl/>
        </w:rPr>
        <w:t xml:space="preserve">לאם לא היה מתוך בחירה אישית שלה, ועל כך ניתן להתרשם ממאבקה הממושך לחידוש הקשר עם </w:t>
      </w:r>
      <w:r w:rsidR="00820F03">
        <w:rPr>
          <w:rFonts w:ascii="David" w:hAnsi="David"/>
          <w:b/>
          <w:bCs/>
          <w:rtl/>
        </w:rPr>
        <w:t xml:space="preserve">מ' </w:t>
      </w:r>
      <w:r w:rsidRPr="008C1981">
        <w:rPr>
          <w:rFonts w:ascii="David" w:hAnsi="David"/>
          <w:b/>
          <w:bCs/>
          <w:rtl/>
        </w:rPr>
        <w:t xml:space="preserve">לאורך שנים.  עוד הוכח כי האב </w:t>
      </w:r>
      <w:r w:rsidRPr="008C1981">
        <w:rPr>
          <w:rFonts w:ascii="David" w:hAnsi="David"/>
          <w:b/>
          <w:bCs/>
          <w:rtl/>
        </w:rPr>
        <w:lastRenderedPageBreak/>
        <w:t xml:space="preserve">נהג בדרך של הסתה וניכור של בנו </w:t>
      </w:r>
      <w:r w:rsidR="00820F03">
        <w:rPr>
          <w:rFonts w:ascii="David" w:hAnsi="David"/>
          <w:b/>
          <w:bCs/>
          <w:rtl/>
        </w:rPr>
        <w:t xml:space="preserve">מ' </w:t>
      </w:r>
      <w:r w:rsidRPr="008C1981">
        <w:rPr>
          <w:rFonts w:ascii="David" w:hAnsi="David"/>
          <w:b/>
          <w:bCs/>
          <w:rtl/>
        </w:rPr>
        <w:t xml:space="preserve">כלפי האם. האב לא פעל באופן אקטיבי לחידוש הקשר בין האם לבין </w:t>
      </w:r>
      <w:r w:rsidR="00C154C5">
        <w:rPr>
          <w:rFonts w:ascii="David" w:hAnsi="David" w:hint="cs"/>
          <w:b/>
          <w:bCs/>
          <w:rtl/>
        </w:rPr>
        <w:t>מ'</w:t>
      </w:r>
      <w:r w:rsidRPr="008C1981">
        <w:rPr>
          <w:rFonts w:ascii="David" w:hAnsi="David"/>
          <w:b/>
          <w:bCs/>
          <w:rtl/>
        </w:rPr>
        <w:t xml:space="preserve">. אינני מתעלם מהעובדה כי בנסיבות המקרה הספציפי, אכן, בשלב מסוים, לא ניתן היה לכפות על </w:t>
      </w:r>
      <w:r w:rsidR="00820F03">
        <w:rPr>
          <w:rFonts w:ascii="David" w:hAnsi="David"/>
          <w:b/>
          <w:bCs/>
          <w:rtl/>
        </w:rPr>
        <w:t xml:space="preserve">מ' </w:t>
      </w:r>
      <w:r w:rsidRPr="008C1981">
        <w:rPr>
          <w:rFonts w:ascii="David" w:hAnsi="David"/>
          <w:b/>
          <w:bCs/>
          <w:rtl/>
        </w:rPr>
        <w:t>טיפול בעל כורחו, וכפי שיפורט להלן לאם אשם תורם במצב הקשה שנוצר, ועם זאת, מעשיו של האב בוצעו על פני תקופה ארוכה וממושכת, עוד קודם לכן, ותוך כדי התקופה בה ייתכן וניתן היה לחדש את הקשר"</w:t>
      </w:r>
      <w:r w:rsidR="00C154C5">
        <w:rPr>
          <w:rFonts w:ascii="David" w:hAnsi="David" w:hint="cs"/>
          <w:b/>
          <w:bCs/>
          <w:rtl/>
        </w:rPr>
        <w:t>.</w:t>
      </w:r>
    </w:p>
    <w:p w:rsidR="009A3EDE" w:rsidRPr="008C1981" w:rsidRDefault="009A3EDE" w:rsidP="009A3EDE">
      <w:pPr>
        <w:spacing w:after="120" w:line="360" w:lineRule="auto"/>
        <w:ind w:left="720"/>
        <w:jc w:val="both"/>
        <w:rPr>
          <w:rFonts w:ascii="David" w:hAnsi="David"/>
          <w:rtl/>
        </w:rPr>
      </w:pPr>
      <w:r w:rsidRPr="008C1981">
        <w:rPr>
          <w:rFonts w:ascii="David" w:hAnsi="David"/>
          <w:rtl/>
        </w:rPr>
        <w:t xml:space="preserve">לסיכום ייאמר – השופט קמא קבע כי הוכחה בנסיבות דנן ביצועה של עוולת הרשלנות מצידו של האב כלפי האם בהתייחס לניכור ההורי </w:t>
      </w:r>
      <w:r>
        <w:rPr>
          <w:rFonts w:ascii="David" w:hAnsi="David" w:hint="cs"/>
          <w:rtl/>
        </w:rPr>
        <w:t xml:space="preserve">ביחסים שבין </w:t>
      </w:r>
      <w:r w:rsidR="00820F03">
        <w:rPr>
          <w:rFonts w:ascii="David" w:hAnsi="David" w:hint="cs"/>
          <w:rtl/>
        </w:rPr>
        <w:t>מ</w:t>
      </w:r>
      <w:r w:rsidR="00820F03">
        <w:rPr>
          <w:rFonts w:ascii="David" w:hAnsi="David"/>
          <w:rtl/>
        </w:rPr>
        <w:t>'</w:t>
      </w:r>
      <w:r w:rsidR="00820F03">
        <w:rPr>
          <w:rFonts w:ascii="David" w:hAnsi="David" w:hint="cs"/>
          <w:rtl/>
        </w:rPr>
        <w:t xml:space="preserve"> </w:t>
      </w:r>
      <w:r>
        <w:rPr>
          <w:rFonts w:ascii="David" w:hAnsi="David" w:hint="cs"/>
          <w:rtl/>
        </w:rPr>
        <w:t>לאמו.</w:t>
      </w:r>
      <w:r w:rsidRPr="008C1981">
        <w:rPr>
          <w:rFonts w:ascii="David" w:hAnsi="David"/>
          <w:rtl/>
        </w:rPr>
        <w:t xml:space="preserve"> </w:t>
      </w:r>
    </w:p>
    <w:p w:rsidR="009A3EDE" w:rsidRPr="008C1981" w:rsidRDefault="009A3EDE" w:rsidP="009A3EDE">
      <w:pPr>
        <w:spacing w:after="120" w:line="360" w:lineRule="auto"/>
        <w:ind w:left="720" w:hanging="720"/>
        <w:jc w:val="both"/>
        <w:rPr>
          <w:rFonts w:ascii="David" w:hAnsi="David"/>
          <w:rtl/>
        </w:rPr>
      </w:pPr>
      <w:r w:rsidRPr="008C1981">
        <w:rPr>
          <w:rFonts w:ascii="David" w:hAnsi="David"/>
          <w:rtl/>
        </w:rPr>
        <w:t>12.</w:t>
      </w:r>
      <w:r w:rsidRPr="008C1981">
        <w:rPr>
          <w:rFonts w:ascii="David" w:hAnsi="David"/>
          <w:rtl/>
        </w:rPr>
        <w:tab/>
        <w:t>בסעיפים 80-85 לפסק הדין קמא בחן השופט קמא את ביצוע עוולת הפרת חובה חקוקה (סעיף 63 לפקודת הנזיקין) מצידו של האב כלפי האם בהתייחס למעשים ו/או מחדלים המיוחסים לו, שהביאו לני</w:t>
      </w:r>
      <w:r>
        <w:rPr>
          <w:rFonts w:ascii="David" w:hAnsi="David"/>
          <w:rtl/>
        </w:rPr>
        <w:t xml:space="preserve">כור ההורי מצידו של </w:t>
      </w:r>
      <w:r w:rsidR="00820F03">
        <w:rPr>
          <w:rFonts w:ascii="David" w:hAnsi="David"/>
          <w:rtl/>
        </w:rPr>
        <w:t xml:space="preserve">מ' </w:t>
      </w:r>
      <w:r>
        <w:rPr>
          <w:rFonts w:ascii="David" w:hAnsi="David"/>
          <w:rtl/>
        </w:rPr>
        <w:t>כלפי א</w:t>
      </w:r>
      <w:r w:rsidRPr="008C1981">
        <w:rPr>
          <w:rFonts w:ascii="David" w:hAnsi="David"/>
          <w:rtl/>
        </w:rPr>
        <w:t xml:space="preserve">מו. </w:t>
      </w:r>
    </w:p>
    <w:p w:rsidR="009A3EDE" w:rsidRPr="008C1981" w:rsidRDefault="009A3EDE" w:rsidP="009A3EDE">
      <w:pPr>
        <w:spacing w:after="120" w:line="360" w:lineRule="auto"/>
        <w:ind w:left="720"/>
        <w:jc w:val="both"/>
        <w:rPr>
          <w:rFonts w:ascii="David" w:hAnsi="David"/>
          <w:rtl/>
        </w:rPr>
      </w:pPr>
      <w:r w:rsidRPr="008C1981">
        <w:rPr>
          <w:rFonts w:ascii="David" w:hAnsi="David"/>
          <w:rtl/>
        </w:rPr>
        <w:t>לאחר ניתוח עוולת הפרת חובה חקוקה על חמשת יסודותיה (סעיף 81 לפסק הדין) הגיע בית משפט למסקנה כי האב הפר הוראות מפורשות בחוק הכשרות המשפטית והאפוטרופסות</w:t>
      </w:r>
      <w:r>
        <w:rPr>
          <w:rFonts w:ascii="David" w:hAnsi="David" w:hint="cs"/>
          <w:rtl/>
        </w:rPr>
        <w:t>,</w:t>
      </w:r>
      <w:r w:rsidRPr="008C1981">
        <w:rPr>
          <w:rFonts w:ascii="David" w:hAnsi="David"/>
          <w:rtl/>
        </w:rPr>
        <w:t xml:space="preserve"> התשכ"ב-1962 שנועדו לטובתה של האם, ובמיוחד הוראת סעיף 17 לחוק זה הקובעת כדלקמן:</w:t>
      </w:r>
    </w:p>
    <w:p w:rsidR="009A3EDE" w:rsidRPr="008C1981" w:rsidRDefault="009A3EDE" w:rsidP="009A3EDE">
      <w:pPr>
        <w:spacing w:after="120" w:line="360" w:lineRule="auto"/>
        <w:ind w:left="1440" w:right="567"/>
        <w:jc w:val="both"/>
        <w:rPr>
          <w:rFonts w:ascii="David" w:hAnsi="David"/>
          <w:rtl/>
        </w:rPr>
      </w:pPr>
      <w:r w:rsidRPr="008C1981">
        <w:rPr>
          <w:rFonts w:ascii="David" w:hAnsi="David"/>
          <w:b/>
          <w:bCs/>
          <w:rtl/>
        </w:rPr>
        <w:t>"באפוטרופסותם לקטין חייבים ההורים לנהוג לטובת הקטין כדרך שהורים מסורים היו נוהגים בנסיבות הענין".</w:t>
      </w:r>
    </w:p>
    <w:p w:rsidR="009A3EDE" w:rsidRPr="008C1981" w:rsidRDefault="009A3EDE" w:rsidP="009A3EDE">
      <w:pPr>
        <w:spacing w:after="120" w:line="360" w:lineRule="auto"/>
        <w:ind w:left="720"/>
        <w:jc w:val="both"/>
        <w:rPr>
          <w:rFonts w:ascii="David" w:hAnsi="David"/>
          <w:rtl/>
        </w:rPr>
      </w:pPr>
      <w:r>
        <w:rPr>
          <w:rFonts w:ascii="David" w:hAnsi="David"/>
          <w:rtl/>
        </w:rPr>
        <w:t>לפיכך קבע השופט קמא, כי הוכח</w:t>
      </w:r>
      <w:r w:rsidRPr="008C1981">
        <w:rPr>
          <w:rFonts w:ascii="David" w:hAnsi="David"/>
          <w:rtl/>
        </w:rPr>
        <w:t xml:space="preserve"> ביצועה של עוולת הפרת חובה חקוקה מצידו של האב כלפי האם בכל הקשור לניכור ההורי </w:t>
      </w:r>
      <w:r>
        <w:rPr>
          <w:rFonts w:ascii="David" w:hAnsi="David" w:hint="cs"/>
          <w:rtl/>
        </w:rPr>
        <w:t xml:space="preserve">ביחסים שבין </w:t>
      </w:r>
      <w:r w:rsidR="00820F03">
        <w:rPr>
          <w:rFonts w:ascii="David" w:hAnsi="David" w:hint="cs"/>
          <w:rtl/>
        </w:rPr>
        <w:t>מ</w:t>
      </w:r>
      <w:r w:rsidR="00820F03">
        <w:rPr>
          <w:rFonts w:ascii="David" w:hAnsi="David"/>
          <w:rtl/>
        </w:rPr>
        <w:t>'</w:t>
      </w:r>
      <w:r w:rsidR="00820F03">
        <w:rPr>
          <w:rFonts w:ascii="David" w:hAnsi="David" w:hint="cs"/>
          <w:rtl/>
        </w:rPr>
        <w:t xml:space="preserve"> </w:t>
      </w:r>
      <w:r>
        <w:rPr>
          <w:rFonts w:ascii="David" w:hAnsi="David" w:hint="cs"/>
          <w:rtl/>
        </w:rPr>
        <w:t>לאמו.</w:t>
      </w:r>
      <w:r w:rsidRPr="008C1981">
        <w:rPr>
          <w:rFonts w:ascii="David" w:hAnsi="David"/>
          <w:rtl/>
        </w:rPr>
        <w:t xml:space="preserve">  </w:t>
      </w:r>
    </w:p>
    <w:p w:rsidR="009A3EDE" w:rsidRPr="008C1981" w:rsidRDefault="009A3EDE" w:rsidP="009A3EDE">
      <w:pPr>
        <w:spacing w:after="120" w:line="360" w:lineRule="auto"/>
        <w:ind w:left="720" w:hanging="720"/>
        <w:jc w:val="both"/>
        <w:rPr>
          <w:rFonts w:ascii="David" w:hAnsi="David"/>
          <w:rtl/>
        </w:rPr>
      </w:pPr>
      <w:r w:rsidRPr="008C1981">
        <w:rPr>
          <w:rFonts w:ascii="David" w:hAnsi="David"/>
          <w:rtl/>
        </w:rPr>
        <w:t>13.</w:t>
      </w:r>
      <w:r w:rsidRPr="008C1981">
        <w:rPr>
          <w:rFonts w:ascii="David" w:hAnsi="David"/>
          <w:rtl/>
        </w:rPr>
        <w:tab/>
        <w:t>בסעיפים 72-78 לפסק הדין בחן השופט קמא את שאלת האשם התורם של האם בכל הקשור לניכור ה</w:t>
      </w:r>
      <w:r>
        <w:rPr>
          <w:rFonts w:ascii="David" w:hAnsi="David"/>
          <w:rtl/>
        </w:rPr>
        <w:t xml:space="preserve">הורי מצידו של </w:t>
      </w:r>
      <w:r w:rsidR="00820F03">
        <w:rPr>
          <w:rFonts w:ascii="David" w:hAnsi="David"/>
          <w:rtl/>
        </w:rPr>
        <w:t xml:space="preserve">מ' </w:t>
      </w:r>
      <w:r>
        <w:rPr>
          <w:rFonts w:ascii="David" w:hAnsi="David"/>
          <w:rtl/>
        </w:rPr>
        <w:t xml:space="preserve">כלפיה. זאת </w:t>
      </w:r>
      <w:r w:rsidRPr="008C1981">
        <w:rPr>
          <w:rFonts w:ascii="David" w:hAnsi="David"/>
          <w:rtl/>
        </w:rPr>
        <w:t>נוכח טענת האב כי לאם אחריות לנזק שנגרם לה עקב הניכור ההורי הנטען (האובססיביות בה נקטה כלפיו; התנהגותה האלימה כלפיו; נ</w:t>
      </w:r>
      <w:r>
        <w:rPr>
          <w:rFonts w:ascii="David" w:hAnsi="David" w:hint="cs"/>
          <w:rtl/>
        </w:rPr>
        <w:t>י</w:t>
      </w:r>
      <w:r w:rsidRPr="008C1981">
        <w:rPr>
          <w:rFonts w:ascii="David" w:hAnsi="David"/>
          <w:rtl/>
        </w:rPr>
        <w:t>סיונה להפנותו לבדיקה פסיכיאטרית מיוזמתה; יוזמתה בנקיטת הליך נזקק</w:t>
      </w:r>
      <w:r>
        <w:rPr>
          <w:rFonts w:ascii="David" w:hAnsi="David" w:hint="cs"/>
          <w:rtl/>
        </w:rPr>
        <w:t>ות</w:t>
      </w:r>
      <w:r w:rsidRPr="008C1981">
        <w:rPr>
          <w:rFonts w:ascii="David" w:hAnsi="David"/>
          <w:rtl/>
        </w:rPr>
        <w:t xml:space="preserve"> כלפיו מצד רשויות הרווחה).  </w:t>
      </w:r>
    </w:p>
    <w:p w:rsidR="009A3EDE" w:rsidRPr="008C1981" w:rsidRDefault="009A3EDE" w:rsidP="009A3EDE">
      <w:pPr>
        <w:spacing w:after="120" w:line="360" w:lineRule="auto"/>
        <w:ind w:left="720" w:hanging="720"/>
        <w:jc w:val="both"/>
        <w:rPr>
          <w:rFonts w:ascii="David" w:hAnsi="David"/>
          <w:rtl/>
        </w:rPr>
      </w:pPr>
      <w:r w:rsidRPr="008C1981">
        <w:rPr>
          <w:rFonts w:ascii="David" w:hAnsi="David"/>
          <w:rtl/>
        </w:rPr>
        <w:tab/>
      </w:r>
      <w:r w:rsidRPr="008C1981">
        <w:rPr>
          <w:rFonts w:ascii="David" w:hAnsi="David"/>
          <w:u w:val="single"/>
          <w:rtl/>
        </w:rPr>
        <w:t>לאחר בחינת הדברים ייחס השופט קמא לאם אשם תורם בשיעור של 25%, תוך שציין טעמיו לכך כדלקמן (סעיפים 75-76 לפסק הדין קמא)</w:t>
      </w:r>
      <w:r w:rsidRPr="008C1981">
        <w:rPr>
          <w:rFonts w:ascii="David" w:hAnsi="David"/>
          <w:rtl/>
        </w:rPr>
        <w:t>:</w:t>
      </w:r>
    </w:p>
    <w:p w:rsidR="009A3EDE" w:rsidRPr="008C1981" w:rsidRDefault="009A3EDE" w:rsidP="009A3EDE">
      <w:pPr>
        <w:spacing w:after="120" w:line="360" w:lineRule="auto"/>
        <w:ind w:left="1440" w:right="851"/>
        <w:jc w:val="both"/>
        <w:rPr>
          <w:rFonts w:ascii="David" w:hAnsi="David"/>
          <w:b/>
          <w:bCs/>
          <w:rtl/>
        </w:rPr>
      </w:pPr>
      <w:r w:rsidRPr="008C1981">
        <w:rPr>
          <w:rFonts w:ascii="David" w:hAnsi="David"/>
          <w:b/>
          <w:bCs/>
          <w:rtl/>
        </w:rPr>
        <w:t>"</w:t>
      </w:r>
      <w:r w:rsidRPr="008C1981">
        <w:rPr>
          <w:rFonts w:ascii="David" w:hAnsi="David"/>
          <w:rtl/>
        </w:rPr>
        <w:t xml:space="preserve"> </w:t>
      </w:r>
      <w:r w:rsidRPr="008C1981">
        <w:rPr>
          <w:rFonts w:ascii="David" w:hAnsi="David"/>
          <w:b/>
          <w:bCs/>
          <w:rtl/>
        </w:rPr>
        <w:t xml:space="preserve">...כאמור לעיל, במקרה זה, אין מחלוקת כי האם היתה מעורבת מאוד בהליכים, יזמה הליכים שונים, שפורטו בהרחבה לעיל, טענה כי </w:t>
      </w:r>
      <w:r w:rsidR="00820F03">
        <w:rPr>
          <w:rFonts w:ascii="David" w:hAnsi="David"/>
          <w:b/>
          <w:bCs/>
          <w:rtl/>
        </w:rPr>
        <w:t xml:space="preserve">מ' </w:t>
      </w:r>
      <w:r w:rsidRPr="008C1981">
        <w:rPr>
          <w:rFonts w:ascii="David" w:hAnsi="David"/>
          <w:b/>
          <w:bCs/>
          <w:rtl/>
        </w:rPr>
        <w:t xml:space="preserve">צריך טיפול ואף פעלה לצורך מתן טיפול כאמור, כולל אשפוז וטיפול פסיכיאטרי. האם אף סירבה להשתתף בחלק מהטיפולים, ולא נראה כי שינתה התנהלותה על פני השנים. </w:t>
      </w:r>
    </w:p>
    <w:p w:rsidR="009A3EDE" w:rsidRPr="008C1981" w:rsidRDefault="009A3EDE" w:rsidP="009A3EDE">
      <w:pPr>
        <w:spacing w:after="120" w:line="360" w:lineRule="auto"/>
        <w:ind w:left="1440" w:right="851"/>
        <w:jc w:val="both"/>
        <w:rPr>
          <w:rFonts w:ascii="David" w:hAnsi="David"/>
          <w:b/>
          <w:bCs/>
          <w:rtl/>
        </w:rPr>
      </w:pPr>
      <w:r w:rsidRPr="008C1981">
        <w:rPr>
          <w:rFonts w:ascii="David" w:hAnsi="David"/>
          <w:b/>
          <w:bCs/>
          <w:rtl/>
        </w:rPr>
        <w:t>...אמנם ניתן להבין את מצוקתה של האם ואולם, דומני כי מדובר בהתנהלות אקטיבית, ואף כוחנית, במידה מסוימת. ייתכן ועל רקע המצוקה והתסכול, גברה והחריפה התנהגותה של האם, אשר ציפתה לראות תוצאות, התאכזבה מהעדרן, עד כדי החרפת מצוקתה ואופן התנהלותה בהתאם. לפיכך, דומני כי יש מקום לייחס לאם אשם תורם".</w:t>
      </w:r>
    </w:p>
    <w:p w:rsidR="009A3EDE" w:rsidRPr="008C1981" w:rsidRDefault="009A3EDE" w:rsidP="009A3EDE">
      <w:pPr>
        <w:spacing w:after="120" w:line="360" w:lineRule="auto"/>
        <w:ind w:left="720" w:hanging="720"/>
        <w:jc w:val="both"/>
        <w:rPr>
          <w:rFonts w:ascii="David" w:hAnsi="David"/>
          <w:rtl/>
        </w:rPr>
      </w:pPr>
      <w:r w:rsidRPr="008C1981">
        <w:rPr>
          <w:rFonts w:ascii="David" w:hAnsi="David"/>
          <w:rtl/>
        </w:rPr>
        <w:lastRenderedPageBreak/>
        <w:t>14.</w:t>
      </w:r>
      <w:r w:rsidRPr="008C1981">
        <w:rPr>
          <w:rFonts w:ascii="David" w:hAnsi="David"/>
          <w:rtl/>
        </w:rPr>
        <w:tab/>
      </w:r>
      <w:r w:rsidRPr="008C1981">
        <w:rPr>
          <w:rFonts w:ascii="David" w:hAnsi="David"/>
          <w:u w:val="single"/>
          <w:rtl/>
        </w:rPr>
        <w:t>בסעיפים 86-89 לפסק הדין דן השופט קמא בסכום הפיצוי הראוי לפסוק לזכות האם במקרה הנדון, וכך לשונו</w:t>
      </w:r>
      <w:r w:rsidRPr="008C1981">
        <w:rPr>
          <w:rFonts w:ascii="David" w:hAnsi="David"/>
          <w:rtl/>
        </w:rPr>
        <w:t>:</w:t>
      </w:r>
    </w:p>
    <w:p w:rsidR="009A3EDE" w:rsidRPr="008C1981" w:rsidRDefault="009A3EDE" w:rsidP="009A3EDE">
      <w:pPr>
        <w:spacing w:after="120" w:line="360" w:lineRule="auto"/>
        <w:ind w:left="1440" w:right="709"/>
        <w:jc w:val="both"/>
        <w:rPr>
          <w:rFonts w:ascii="David" w:hAnsi="David"/>
          <w:b/>
          <w:bCs/>
          <w:rtl/>
        </w:rPr>
      </w:pPr>
      <w:r w:rsidRPr="008C1981">
        <w:rPr>
          <w:rFonts w:ascii="David" w:hAnsi="David"/>
          <w:b/>
          <w:bCs/>
          <w:rtl/>
        </w:rPr>
        <w:t>"</w:t>
      </w:r>
      <w:r w:rsidRPr="008C1981">
        <w:rPr>
          <w:rFonts w:ascii="David" w:hAnsi="David"/>
          <w:rtl/>
        </w:rPr>
        <w:t xml:space="preserve"> </w:t>
      </w:r>
      <w:r w:rsidRPr="008C1981">
        <w:rPr>
          <w:rFonts w:ascii="David" w:hAnsi="David"/>
          <w:b/>
          <w:bCs/>
          <w:rtl/>
        </w:rPr>
        <w:t>... כאמור לעיל, בכל הנוגע לעניין הוכחת הנזקים הנטענים, תחת ראש נזק כאב וסבל, או פגיעה באוטונומיה, אין צורך בחוות דעת מומחה, וע"פ הפסיק</w:t>
      </w:r>
      <w:r>
        <w:rPr>
          <w:rFonts w:ascii="David" w:hAnsi="David"/>
          <w:b/>
          <w:bCs/>
          <w:rtl/>
        </w:rPr>
        <w:t xml:space="preserve">ה, יש לפסוק פיצוי בהתאם לעקרון </w:t>
      </w:r>
      <w:r w:rsidRPr="008C1981">
        <w:rPr>
          <w:rFonts w:ascii="David" w:hAnsi="David"/>
          <w:b/>
          <w:bCs/>
          <w:rtl/>
        </w:rPr>
        <w:t>האומדנא.</w:t>
      </w:r>
    </w:p>
    <w:p w:rsidR="009A3EDE" w:rsidRPr="008C1981" w:rsidRDefault="009A3EDE" w:rsidP="00C154C5">
      <w:pPr>
        <w:spacing w:after="120" w:line="360" w:lineRule="auto"/>
        <w:ind w:left="1440" w:right="709"/>
        <w:jc w:val="both"/>
        <w:rPr>
          <w:rFonts w:ascii="David" w:hAnsi="David"/>
          <w:b/>
          <w:bCs/>
          <w:rtl/>
        </w:rPr>
      </w:pPr>
      <w:r w:rsidRPr="008C1981">
        <w:rPr>
          <w:rFonts w:ascii="David" w:hAnsi="David"/>
          <w:b/>
          <w:bCs/>
          <w:rtl/>
        </w:rPr>
        <w:t xml:space="preserve">...הונחה לפניי תשתית רחבה להסתה מצד האב, ולו בדרך של חיקוי והזדהות עם תפיסת עולמו. האב לא נקט אמצעים אקטיביים לחידוש הקשר בין </w:t>
      </w:r>
      <w:r w:rsidR="00820F03">
        <w:rPr>
          <w:rFonts w:ascii="David" w:hAnsi="David"/>
          <w:b/>
          <w:bCs/>
          <w:rtl/>
        </w:rPr>
        <w:t xml:space="preserve">מ' </w:t>
      </w:r>
      <w:r w:rsidRPr="008C1981">
        <w:rPr>
          <w:rFonts w:ascii="David" w:hAnsi="David"/>
          <w:b/>
          <w:bCs/>
          <w:rtl/>
        </w:rPr>
        <w:t xml:space="preserve">לאם, ובכך ביצע עוולות של הפרת חובה חקוקה והתרשלות.  אינני מתעלם מהעובדה כי בשלב מסוים, השתתף האב ולקח חלק בטיפולים, וכך גם </w:t>
      </w:r>
      <w:r w:rsidR="00C154C5">
        <w:rPr>
          <w:rFonts w:ascii="David" w:hAnsi="David" w:hint="cs"/>
          <w:b/>
          <w:bCs/>
          <w:rtl/>
        </w:rPr>
        <w:t>מ'</w:t>
      </w:r>
      <w:r w:rsidRPr="008C1981">
        <w:rPr>
          <w:rFonts w:ascii="David" w:hAnsi="David"/>
          <w:b/>
          <w:bCs/>
          <w:rtl/>
        </w:rPr>
        <w:t>, אם כי קיימות ראיות ברורות, שצוטטו לעיל מפי העו"ס,  או המומחים, לפיהן האב מסרב להמשך הטיפולים, ובכך נמנע מ</w:t>
      </w:r>
      <w:r w:rsidR="00C154C5">
        <w:rPr>
          <w:rFonts w:ascii="David" w:hAnsi="David" w:hint="cs"/>
          <w:b/>
          <w:bCs/>
          <w:rtl/>
        </w:rPr>
        <w:t>-</w:t>
      </w:r>
      <w:r w:rsidR="00820F03">
        <w:rPr>
          <w:rFonts w:ascii="David" w:hAnsi="David"/>
          <w:b/>
          <w:bCs/>
          <w:rtl/>
        </w:rPr>
        <w:t xml:space="preserve">מ' </w:t>
      </w:r>
      <w:r w:rsidRPr="008C1981">
        <w:rPr>
          <w:rFonts w:ascii="David" w:hAnsi="David"/>
          <w:b/>
          <w:bCs/>
          <w:rtl/>
        </w:rPr>
        <w:t xml:space="preserve">להמשיך את התוכנית הטיפולית.  </w:t>
      </w:r>
    </w:p>
    <w:p w:rsidR="009A3EDE" w:rsidRPr="008C1981" w:rsidRDefault="009A3EDE" w:rsidP="009A3EDE">
      <w:pPr>
        <w:spacing w:after="120" w:line="360" w:lineRule="auto"/>
        <w:ind w:left="1440" w:right="709"/>
        <w:jc w:val="both"/>
        <w:rPr>
          <w:rFonts w:ascii="David" w:hAnsi="David"/>
          <w:b/>
          <w:bCs/>
          <w:rtl/>
        </w:rPr>
      </w:pPr>
      <w:r w:rsidRPr="008C1981">
        <w:rPr>
          <w:rFonts w:ascii="David" w:hAnsi="David"/>
          <w:b/>
          <w:bCs/>
          <w:rtl/>
        </w:rPr>
        <w:t>...עיון בפסיקת בתי המשפט, מעלה כי סכום הפיצוי הנפסק משתנה, תלוי בנסיבותיו הספציפיות של כל מקרה ומקרה, באופן כללי, עולה עם השנים, ונע בין 15,000 ₪ [תמ"ש 6423/02], דרך 50,000 [תמ"ש 48750-07-12], 150,000 ₪ [עמ"ש 63448-06-20], 150,000 ₪ [תלה"מ 51455-03-17], 250,000 ₪  [תמ"ש 58854-07-14]...</w:t>
      </w:r>
    </w:p>
    <w:p w:rsidR="009A3EDE" w:rsidRPr="008C1981" w:rsidRDefault="009A3EDE" w:rsidP="009A3EDE">
      <w:pPr>
        <w:spacing w:after="120" w:line="360" w:lineRule="auto"/>
        <w:ind w:left="1440" w:right="709"/>
        <w:jc w:val="both"/>
        <w:rPr>
          <w:rFonts w:ascii="David" w:hAnsi="David"/>
          <w:b/>
          <w:bCs/>
          <w:rtl/>
        </w:rPr>
      </w:pPr>
      <w:r w:rsidRPr="008C1981">
        <w:rPr>
          <w:rFonts w:ascii="David" w:hAnsi="David"/>
          <w:b/>
          <w:bCs/>
          <w:rtl/>
        </w:rPr>
        <w:t xml:space="preserve">...לנוכח כלל האמור לעיל, ולאחר ששקלתי טענות הצדדים, לאחר הפחתת חלקה של האם מכח אשם תורם, בהתחשב בכך כי </w:t>
      </w:r>
      <w:r w:rsidR="00820F03">
        <w:rPr>
          <w:rFonts w:ascii="David" w:hAnsi="David"/>
          <w:b/>
          <w:bCs/>
          <w:rtl/>
        </w:rPr>
        <w:t xml:space="preserve">מ' </w:t>
      </w:r>
      <w:r w:rsidRPr="008C1981">
        <w:rPr>
          <w:rFonts w:ascii="David" w:hAnsi="David"/>
          <w:b/>
          <w:bCs/>
          <w:rtl/>
        </w:rPr>
        <w:t>היום הוא בגיר, וייתכן כי הקשר אינו ניתן לאיחוי, אני קובע, כי על הא</w:t>
      </w:r>
      <w:r w:rsidR="00C154C5">
        <w:rPr>
          <w:rFonts w:ascii="David" w:hAnsi="David"/>
          <w:b/>
          <w:bCs/>
          <w:rtl/>
        </w:rPr>
        <w:t>ב לפצות את  האם בגין כלל נזקיה,</w:t>
      </w:r>
      <w:r w:rsidRPr="008C1981">
        <w:rPr>
          <w:rFonts w:ascii="David" w:hAnsi="David"/>
          <w:b/>
          <w:bCs/>
          <w:rtl/>
        </w:rPr>
        <w:t xml:space="preserve"> בסך כולל של 165,000 ₪</w:t>
      </w:r>
      <w:r>
        <w:rPr>
          <w:rFonts w:ascii="David" w:hAnsi="David" w:hint="cs"/>
          <w:b/>
          <w:bCs/>
          <w:rtl/>
        </w:rPr>
        <w:t>"</w:t>
      </w:r>
      <w:r w:rsidRPr="008C1981">
        <w:rPr>
          <w:rFonts w:ascii="David" w:hAnsi="David"/>
          <w:b/>
          <w:bCs/>
          <w:rtl/>
        </w:rPr>
        <w:t xml:space="preserve">. </w:t>
      </w:r>
    </w:p>
    <w:p w:rsidR="009A3EDE" w:rsidRPr="008C1981" w:rsidRDefault="009A3EDE" w:rsidP="009A3EDE">
      <w:pPr>
        <w:spacing w:after="120" w:line="360" w:lineRule="auto"/>
        <w:ind w:left="720"/>
        <w:jc w:val="both"/>
        <w:rPr>
          <w:rFonts w:ascii="David" w:hAnsi="David"/>
          <w:rtl/>
        </w:rPr>
      </w:pPr>
      <w:r w:rsidRPr="008C1981">
        <w:rPr>
          <w:rFonts w:ascii="David" w:hAnsi="David"/>
          <w:rtl/>
        </w:rPr>
        <w:t xml:space="preserve">היינו – סכום הפיצויים שקבע השופט קמא הינו סך של 220,000 ₪, שלאחר ניכוי 25% אשם תורם, עומד על סך של 165,000 ₪. </w:t>
      </w:r>
    </w:p>
    <w:p w:rsidR="009A3EDE" w:rsidRPr="008C1981" w:rsidRDefault="009A3EDE" w:rsidP="009A3EDE">
      <w:pPr>
        <w:spacing w:after="120" w:line="360" w:lineRule="auto"/>
        <w:ind w:left="720" w:hanging="720"/>
        <w:jc w:val="both"/>
        <w:rPr>
          <w:rFonts w:ascii="David" w:hAnsi="David"/>
          <w:b/>
          <w:bCs/>
          <w:rtl/>
        </w:rPr>
      </w:pPr>
      <w:r w:rsidRPr="008C1981">
        <w:rPr>
          <w:rFonts w:ascii="David" w:hAnsi="David"/>
          <w:rtl/>
        </w:rPr>
        <w:t>15.</w:t>
      </w:r>
      <w:r w:rsidRPr="008C1981">
        <w:rPr>
          <w:rFonts w:ascii="David" w:hAnsi="David"/>
          <w:rtl/>
        </w:rPr>
        <w:tab/>
      </w:r>
      <w:r>
        <w:rPr>
          <w:rFonts w:ascii="David" w:hAnsi="David" w:hint="cs"/>
          <w:rtl/>
        </w:rPr>
        <w:t>א.</w:t>
      </w:r>
      <w:r>
        <w:rPr>
          <w:rFonts w:ascii="David" w:hAnsi="David" w:hint="cs"/>
          <w:rtl/>
        </w:rPr>
        <w:tab/>
      </w:r>
      <w:r w:rsidRPr="008C1981">
        <w:rPr>
          <w:rFonts w:ascii="David" w:hAnsi="David"/>
          <w:rtl/>
        </w:rPr>
        <w:t xml:space="preserve">בסעיף 98 התייחס השופט קמא לסוגיית הוצאות התובענה ושכר טרחת עורך דינה של האם, </w:t>
      </w:r>
      <w:r>
        <w:rPr>
          <w:rFonts w:ascii="David" w:hAnsi="David"/>
          <w:rtl/>
        </w:rPr>
        <w:tab/>
      </w:r>
      <w:r w:rsidRPr="008C1981">
        <w:rPr>
          <w:rFonts w:ascii="David" w:hAnsi="David"/>
          <w:rtl/>
        </w:rPr>
        <w:t xml:space="preserve">והעמידם על סך של 55,000 ₪, וזאת לאחר ששקל את </w:t>
      </w:r>
      <w:r w:rsidRPr="008C1981">
        <w:rPr>
          <w:rFonts w:ascii="David" w:hAnsi="David"/>
          <w:b/>
          <w:bCs/>
          <w:rtl/>
        </w:rPr>
        <w:t xml:space="preserve">"אופן התנהלות הצדדים ורוחב היריעה </w:t>
      </w:r>
      <w:r>
        <w:rPr>
          <w:rFonts w:ascii="David" w:hAnsi="David"/>
          <w:b/>
          <w:bCs/>
          <w:rtl/>
        </w:rPr>
        <w:tab/>
      </w:r>
      <w:r w:rsidRPr="008C1981">
        <w:rPr>
          <w:rFonts w:ascii="David" w:hAnsi="David"/>
          <w:b/>
          <w:bCs/>
          <w:rtl/>
        </w:rPr>
        <w:t>שנפרסה"</w:t>
      </w:r>
      <w:r w:rsidRPr="000F0302">
        <w:rPr>
          <w:rFonts w:ascii="David" w:hAnsi="David"/>
          <w:rtl/>
        </w:rPr>
        <w:t>.</w:t>
      </w:r>
    </w:p>
    <w:p w:rsidR="009A3EDE" w:rsidRPr="008C1981" w:rsidRDefault="009A3EDE" w:rsidP="009A3EDE">
      <w:pPr>
        <w:spacing w:after="120" w:line="360" w:lineRule="auto"/>
        <w:ind w:left="1440" w:hanging="720"/>
        <w:jc w:val="both"/>
        <w:rPr>
          <w:rFonts w:ascii="David" w:hAnsi="David"/>
          <w:rtl/>
        </w:rPr>
      </w:pPr>
      <w:r w:rsidRPr="001F7C0E">
        <w:rPr>
          <w:rFonts w:ascii="David" w:hAnsi="David"/>
          <w:rtl/>
        </w:rPr>
        <w:t>ב.</w:t>
      </w:r>
      <w:r w:rsidRPr="008C1981">
        <w:rPr>
          <w:rFonts w:ascii="David" w:hAnsi="David"/>
          <w:rtl/>
        </w:rPr>
        <w:tab/>
        <w:t xml:space="preserve">כאן אציין, כי מעבר לתביעה הנזיקית אליה התייחסנו עד כה ואליה התייחס הערעור דנן, הגישה האם שתי תביעות נוספות שגם הוכרעו במסגרת פסק הדין. </w:t>
      </w:r>
    </w:p>
    <w:p w:rsidR="009A3EDE" w:rsidRPr="008C1981" w:rsidRDefault="009A3EDE" w:rsidP="00C154C5">
      <w:pPr>
        <w:spacing w:after="120" w:line="360" w:lineRule="auto"/>
        <w:ind w:left="1440" w:hanging="720"/>
        <w:jc w:val="both"/>
        <w:rPr>
          <w:rFonts w:ascii="David" w:hAnsi="David"/>
          <w:rtl/>
        </w:rPr>
      </w:pPr>
      <w:r w:rsidRPr="008C1981">
        <w:rPr>
          <w:rFonts w:ascii="David" w:hAnsi="David"/>
          <w:rtl/>
        </w:rPr>
        <w:tab/>
        <w:t xml:space="preserve">האחת – </w:t>
      </w:r>
      <w:r w:rsidRPr="008C1981">
        <w:rPr>
          <w:rFonts w:ascii="David" w:hAnsi="David"/>
          <w:u w:val="single"/>
          <w:rtl/>
        </w:rPr>
        <w:t>תלה"מ 13955-12-21</w:t>
      </w:r>
      <w:r w:rsidRPr="008C1981">
        <w:rPr>
          <w:rFonts w:ascii="David" w:hAnsi="David"/>
          <w:rtl/>
        </w:rPr>
        <w:t xml:space="preserve"> - תביעת האם לביטול חיובה בהשתתפות בתשלום הוצאות חריגות בהתייחס </w:t>
      </w:r>
      <w:r w:rsidR="00C154C5">
        <w:rPr>
          <w:rFonts w:ascii="David" w:hAnsi="David" w:hint="cs"/>
          <w:rtl/>
        </w:rPr>
        <w:t>ל-מ'</w:t>
      </w:r>
      <w:r w:rsidRPr="008C1981">
        <w:rPr>
          <w:rFonts w:ascii="David" w:hAnsi="David"/>
          <w:rtl/>
        </w:rPr>
        <w:t>, בטענה כי מדובר בקטין סרבן.</w:t>
      </w:r>
    </w:p>
    <w:p w:rsidR="009A3EDE" w:rsidRPr="008C1981" w:rsidRDefault="009A3EDE" w:rsidP="00C154C5">
      <w:pPr>
        <w:spacing w:after="120" w:line="360" w:lineRule="auto"/>
        <w:ind w:left="1440" w:hanging="720"/>
        <w:jc w:val="both"/>
        <w:rPr>
          <w:rFonts w:ascii="David" w:hAnsi="David"/>
          <w:rtl/>
        </w:rPr>
      </w:pPr>
      <w:r w:rsidRPr="008C1981">
        <w:rPr>
          <w:rFonts w:ascii="David" w:hAnsi="David"/>
          <w:rtl/>
        </w:rPr>
        <w:tab/>
        <w:t xml:space="preserve">השניה – </w:t>
      </w:r>
      <w:r w:rsidRPr="008C1981">
        <w:rPr>
          <w:rFonts w:ascii="David" w:hAnsi="David"/>
          <w:u w:val="single"/>
          <w:rtl/>
        </w:rPr>
        <w:t xml:space="preserve">תלה"מ 43721-04-21 </w:t>
      </w:r>
      <w:r w:rsidRPr="008C1981">
        <w:rPr>
          <w:rFonts w:ascii="David" w:hAnsi="David"/>
          <w:rtl/>
        </w:rPr>
        <w:t xml:space="preserve">- תביעת האם לחידוש קשר עם </w:t>
      </w:r>
      <w:r w:rsidR="00C154C5">
        <w:rPr>
          <w:rFonts w:ascii="David" w:hAnsi="David" w:hint="cs"/>
          <w:rtl/>
        </w:rPr>
        <w:t>מ'.</w:t>
      </w:r>
    </w:p>
    <w:p w:rsidR="009A3EDE" w:rsidRDefault="009A3EDE" w:rsidP="009A3EDE">
      <w:pPr>
        <w:spacing w:after="120" w:line="360" w:lineRule="auto"/>
        <w:ind w:left="1440" w:hanging="720"/>
        <w:jc w:val="both"/>
        <w:rPr>
          <w:rFonts w:ascii="David" w:hAnsi="David"/>
          <w:rtl/>
        </w:rPr>
      </w:pPr>
      <w:r w:rsidRPr="008C1981">
        <w:rPr>
          <w:rFonts w:ascii="David" w:hAnsi="David"/>
          <w:rtl/>
        </w:rPr>
        <w:tab/>
        <w:t>את שתי התביעות הנוספות הנ"ל דחה השופט קמא במסגרת פסק הדין.</w:t>
      </w:r>
    </w:p>
    <w:p w:rsidR="00C154C5" w:rsidRDefault="00C154C5" w:rsidP="009A3EDE">
      <w:pPr>
        <w:spacing w:after="120" w:line="360" w:lineRule="auto"/>
        <w:ind w:left="1440" w:hanging="720"/>
        <w:jc w:val="both"/>
        <w:rPr>
          <w:rFonts w:ascii="David" w:hAnsi="David"/>
          <w:rtl/>
        </w:rPr>
      </w:pPr>
    </w:p>
    <w:p w:rsidR="00C154C5" w:rsidRPr="008C1981" w:rsidRDefault="00C154C5" w:rsidP="009A3EDE">
      <w:pPr>
        <w:spacing w:after="120" w:line="360" w:lineRule="auto"/>
        <w:ind w:left="1440" w:hanging="720"/>
        <w:jc w:val="both"/>
        <w:rPr>
          <w:rFonts w:ascii="David" w:hAnsi="David"/>
          <w:rtl/>
        </w:rPr>
      </w:pPr>
    </w:p>
    <w:p w:rsidR="009A3EDE" w:rsidRPr="008C1981" w:rsidRDefault="009A3EDE" w:rsidP="009A3EDE">
      <w:pPr>
        <w:spacing w:after="120" w:line="360" w:lineRule="auto"/>
        <w:ind w:left="1440" w:hanging="720"/>
        <w:jc w:val="both"/>
        <w:rPr>
          <w:rFonts w:ascii="David" w:hAnsi="David"/>
          <w:rtl/>
        </w:rPr>
      </w:pPr>
      <w:r w:rsidRPr="008C1981">
        <w:rPr>
          <w:rFonts w:ascii="David" w:hAnsi="David"/>
          <w:rtl/>
        </w:rPr>
        <w:lastRenderedPageBreak/>
        <w:tab/>
      </w:r>
      <w:r w:rsidRPr="008C1981">
        <w:rPr>
          <w:rFonts w:ascii="David" w:hAnsi="David"/>
          <w:u w:val="single"/>
          <w:rtl/>
        </w:rPr>
        <w:t xml:space="preserve">לגבי התביעה הנוספת האחת </w:t>
      </w:r>
      <w:r>
        <w:rPr>
          <w:rFonts w:ascii="David" w:hAnsi="David"/>
          <w:u w:val="single"/>
          <w:rtl/>
        </w:rPr>
        <w:t>(ביטל הוצאות חריגות)</w:t>
      </w:r>
      <w:r>
        <w:rPr>
          <w:rFonts w:ascii="David" w:hAnsi="David" w:hint="cs"/>
          <w:u w:val="single"/>
          <w:rtl/>
        </w:rPr>
        <w:t xml:space="preserve">, </w:t>
      </w:r>
      <w:r w:rsidRPr="008C1981">
        <w:rPr>
          <w:rFonts w:ascii="David" w:hAnsi="David"/>
          <w:u w:val="single"/>
          <w:rtl/>
        </w:rPr>
        <w:t>ציין השופט קמא כדלקמן (סעיפים 90-91)</w:t>
      </w:r>
      <w:r w:rsidRPr="008C1981">
        <w:rPr>
          <w:rFonts w:ascii="David" w:hAnsi="David"/>
          <w:rtl/>
        </w:rPr>
        <w:t>:</w:t>
      </w:r>
    </w:p>
    <w:p w:rsidR="009A3EDE" w:rsidRPr="008C1981" w:rsidRDefault="009A3EDE" w:rsidP="00C154C5">
      <w:pPr>
        <w:spacing w:after="120" w:line="360" w:lineRule="auto"/>
        <w:ind w:left="2160" w:right="567"/>
        <w:jc w:val="both"/>
        <w:rPr>
          <w:rFonts w:ascii="David" w:hAnsi="David"/>
          <w:b/>
          <w:bCs/>
          <w:rtl/>
        </w:rPr>
      </w:pPr>
      <w:r w:rsidRPr="008C1981">
        <w:rPr>
          <w:rFonts w:ascii="David" w:hAnsi="David"/>
          <w:b/>
          <w:bCs/>
          <w:rtl/>
        </w:rPr>
        <w:t>"</w:t>
      </w:r>
      <w:r w:rsidRPr="008C1981">
        <w:rPr>
          <w:rFonts w:ascii="David" w:hAnsi="David"/>
          <w:rtl/>
        </w:rPr>
        <w:t xml:space="preserve">... </w:t>
      </w:r>
      <w:r w:rsidRPr="008C1981">
        <w:rPr>
          <w:rFonts w:ascii="David" w:hAnsi="David"/>
          <w:b/>
          <w:bCs/>
          <w:rtl/>
        </w:rPr>
        <w:t>לאחר עיון בטענות האם, דומני כי</w:t>
      </w:r>
      <w:r w:rsidR="00C154C5">
        <w:rPr>
          <w:rFonts w:ascii="David" w:hAnsi="David"/>
          <w:b/>
          <w:bCs/>
          <w:rtl/>
        </w:rPr>
        <w:t xml:space="preserve"> קיים קושי ודין התביעה להידחות.</w:t>
      </w:r>
      <w:r w:rsidRPr="008C1981">
        <w:rPr>
          <w:rFonts w:ascii="David" w:hAnsi="David"/>
          <w:b/>
          <w:bCs/>
          <w:rtl/>
        </w:rPr>
        <w:t xml:space="preserve"> מחד גיסא, מבססת האם את ת</w:t>
      </w:r>
      <w:r w:rsidR="00C154C5">
        <w:rPr>
          <w:rFonts w:ascii="David" w:hAnsi="David"/>
          <w:b/>
          <w:bCs/>
          <w:rtl/>
        </w:rPr>
        <w:t xml:space="preserve">ביעתה על טענת המרדנות והסרבנות </w:t>
      </w:r>
      <w:r w:rsidRPr="008C1981">
        <w:rPr>
          <w:rFonts w:ascii="David" w:hAnsi="David"/>
          <w:b/>
          <w:bCs/>
          <w:rtl/>
        </w:rPr>
        <w:t xml:space="preserve">של </w:t>
      </w:r>
      <w:r w:rsidR="00820F03">
        <w:rPr>
          <w:rFonts w:ascii="David" w:hAnsi="David"/>
          <w:b/>
          <w:bCs/>
          <w:rtl/>
        </w:rPr>
        <w:t xml:space="preserve">מ' </w:t>
      </w:r>
      <w:r w:rsidRPr="008C1981">
        <w:rPr>
          <w:rFonts w:ascii="David" w:hAnsi="David"/>
          <w:b/>
          <w:bCs/>
          <w:rtl/>
        </w:rPr>
        <w:t>ובעקבותיה עותרת לביטול תשלום  הוצאות חריגות.  מאידך גיסא, טוענת בהרחבה ביחס לניכור הורי מצד האב ו</w:t>
      </w:r>
      <w:r w:rsidR="00C154C5">
        <w:rPr>
          <w:rFonts w:ascii="David" w:hAnsi="David"/>
          <w:b/>
          <w:bCs/>
          <w:rtl/>
        </w:rPr>
        <w:t xml:space="preserve">הסתה מצדו שהובילה למצב הקיים.  </w:t>
      </w:r>
      <w:r w:rsidRPr="008C1981">
        <w:rPr>
          <w:rFonts w:ascii="David" w:hAnsi="David"/>
          <w:b/>
          <w:bCs/>
          <w:rtl/>
        </w:rPr>
        <w:t>האב חזר על טענותיו להעדר אחריות למצב.</w:t>
      </w:r>
    </w:p>
    <w:p w:rsidR="009A3EDE" w:rsidRPr="008C1981" w:rsidRDefault="009A3EDE" w:rsidP="00C154C5">
      <w:pPr>
        <w:spacing w:after="120" w:line="360" w:lineRule="auto"/>
        <w:ind w:left="2160" w:right="567"/>
        <w:jc w:val="both"/>
        <w:rPr>
          <w:rFonts w:ascii="David" w:hAnsi="David"/>
          <w:rtl/>
        </w:rPr>
      </w:pPr>
      <w:r w:rsidRPr="008C1981">
        <w:rPr>
          <w:rFonts w:ascii="David" w:hAnsi="David"/>
          <w:b/>
          <w:bCs/>
          <w:rtl/>
        </w:rPr>
        <w:t xml:space="preserve">...כמפורט לעיל, שעה שנמצא כי האב הינו אב מנכר, והוא האחראי העיקרי למערכת היחסים הקשה ולנתק בין האם </w:t>
      </w:r>
      <w:r w:rsidR="00C154C5">
        <w:rPr>
          <w:rFonts w:ascii="David" w:hAnsi="David" w:hint="cs"/>
          <w:b/>
          <w:bCs/>
          <w:rtl/>
        </w:rPr>
        <w:t>ו-מ'</w:t>
      </w:r>
      <w:r w:rsidRPr="008C1981">
        <w:rPr>
          <w:rFonts w:ascii="David" w:hAnsi="David"/>
          <w:b/>
          <w:bCs/>
          <w:rtl/>
        </w:rPr>
        <w:t>, דומני כי נשמט הבסיס תחת תביעת האם. זאת ועוד, האם לא טענה דבר בסיכומיה ביחס לתביעה ודומני כי יש לראות בתביעה כאילו נזנחה"</w:t>
      </w:r>
      <w:r w:rsidRPr="008C1981">
        <w:rPr>
          <w:rFonts w:ascii="David" w:hAnsi="David"/>
          <w:rtl/>
        </w:rPr>
        <w:t>.</w:t>
      </w:r>
    </w:p>
    <w:p w:rsidR="009A3EDE" w:rsidRPr="008C1981" w:rsidRDefault="009A3EDE" w:rsidP="00C154C5">
      <w:pPr>
        <w:spacing w:after="120" w:line="360" w:lineRule="auto"/>
        <w:ind w:left="1440"/>
        <w:jc w:val="both"/>
        <w:rPr>
          <w:rFonts w:ascii="David" w:hAnsi="David"/>
          <w:rtl/>
        </w:rPr>
      </w:pPr>
      <w:r w:rsidRPr="008C1981">
        <w:rPr>
          <w:rFonts w:ascii="David" w:hAnsi="David"/>
          <w:u w:val="single"/>
          <w:rtl/>
        </w:rPr>
        <w:t>לגבי ה</w:t>
      </w:r>
      <w:r>
        <w:rPr>
          <w:rFonts w:ascii="David" w:hAnsi="David"/>
          <w:u w:val="single"/>
          <w:rtl/>
        </w:rPr>
        <w:t>תביעה הנוספת השניה (תביעת האם ל</w:t>
      </w:r>
      <w:r w:rsidRPr="008C1981">
        <w:rPr>
          <w:rFonts w:ascii="David" w:hAnsi="David"/>
          <w:u w:val="single"/>
          <w:rtl/>
        </w:rPr>
        <w:t xml:space="preserve">חידוש הקשר עם </w:t>
      </w:r>
      <w:r w:rsidR="00C154C5">
        <w:rPr>
          <w:rFonts w:ascii="David" w:hAnsi="David" w:hint="cs"/>
          <w:u w:val="single"/>
          <w:rtl/>
        </w:rPr>
        <w:t>מ'</w:t>
      </w:r>
      <w:r w:rsidRPr="008C1981">
        <w:rPr>
          <w:rFonts w:ascii="David" w:hAnsi="David"/>
          <w:u w:val="single"/>
          <w:rtl/>
        </w:rPr>
        <w:t>)</w:t>
      </w:r>
      <w:r>
        <w:rPr>
          <w:rFonts w:ascii="David" w:hAnsi="David" w:hint="cs"/>
          <w:u w:val="single"/>
          <w:rtl/>
        </w:rPr>
        <w:t xml:space="preserve">, </w:t>
      </w:r>
      <w:r w:rsidRPr="008C1981">
        <w:rPr>
          <w:rFonts w:ascii="David" w:hAnsi="David"/>
          <w:u w:val="single"/>
          <w:rtl/>
        </w:rPr>
        <w:t>ציין השופט קמא כדלקמן (סעיפים 94-95)</w:t>
      </w:r>
      <w:r w:rsidRPr="008C1981">
        <w:rPr>
          <w:rFonts w:ascii="David" w:hAnsi="David"/>
          <w:rtl/>
        </w:rPr>
        <w:t>:</w:t>
      </w:r>
    </w:p>
    <w:p w:rsidR="009A3EDE" w:rsidRPr="008C1981" w:rsidRDefault="009A3EDE" w:rsidP="009A3EDE">
      <w:pPr>
        <w:spacing w:after="120" w:line="360" w:lineRule="auto"/>
        <w:ind w:left="1440" w:right="567"/>
        <w:jc w:val="both"/>
        <w:rPr>
          <w:rFonts w:ascii="David" w:hAnsi="David"/>
          <w:b/>
          <w:bCs/>
          <w:rtl/>
        </w:rPr>
      </w:pPr>
      <w:r w:rsidRPr="008C1981">
        <w:rPr>
          <w:rFonts w:ascii="David" w:hAnsi="David"/>
          <w:rtl/>
        </w:rPr>
        <w:tab/>
      </w:r>
      <w:r w:rsidRPr="008C1981">
        <w:rPr>
          <w:rFonts w:ascii="David" w:hAnsi="David"/>
          <w:b/>
          <w:bCs/>
          <w:rtl/>
        </w:rPr>
        <w:t>"</w:t>
      </w:r>
      <w:r w:rsidRPr="008C1981">
        <w:rPr>
          <w:rFonts w:ascii="David" w:hAnsi="David"/>
          <w:rtl/>
        </w:rPr>
        <w:t>...</w:t>
      </w:r>
      <w:r w:rsidRPr="008C1981">
        <w:rPr>
          <w:rFonts w:ascii="David" w:hAnsi="David"/>
          <w:b/>
          <w:bCs/>
          <w:rtl/>
        </w:rPr>
        <w:t xml:space="preserve">בסיכומיהם הצדדים לא התייחסו להליך זה כלל. </w:t>
      </w:r>
    </w:p>
    <w:p w:rsidR="009A3EDE" w:rsidRPr="008C1981" w:rsidRDefault="009A3EDE" w:rsidP="009A3EDE">
      <w:pPr>
        <w:spacing w:after="120" w:line="360" w:lineRule="auto"/>
        <w:ind w:left="2160" w:right="567"/>
        <w:jc w:val="both"/>
        <w:rPr>
          <w:rFonts w:ascii="David" w:hAnsi="David"/>
          <w:b/>
          <w:bCs/>
          <w:rtl/>
        </w:rPr>
      </w:pPr>
      <w:r w:rsidRPr="008C1981">
        <w:rPr>
          <w:rFonts w:ascii="David" w:hAnsi="David"/>
          <w:b/>
          <w:bCs/>
          <w:rtl/>
        </w:rPr>
        <w:t xml:space="preserve">...מכל מקום, תוך כדי ההליך, </w:t>
      </w:r>
      <w:r w:rsidR="00820F03">
        <w:rPr>
          <w:rFonts w:ascii="David" w:hAnsi="David"/>
          <w:b/>
          <w:bCs/>
          <w:rtl/>
        </w:rPr>
        <w:t xml:space="preserve">מ' </w:t>
      </w:r>
      <w:r w:rsidRPr="008C1981">
        <w:rPr>
          <w:rFonts w:ascii="David" w:hAnsi="David"/>
          <w:b/>
          <w:bCs/>
          <w:rtl/>
        </w:rPr>
        <w:t>בגר ולפיכך, אינני סבור כי יש מקום ליתן הוראות בנושא ואני מורה על דחיית התביעה".</w:t>
      </w:r>
    </w:p>
    <w:p w:rsidR="009A3EDE" w:rsidRPr="008C1981" w:rsidRDefault="009A3EDE" w:rsidP="009A3EDE">
      <w:pPr>
        <w:spacing w:after="120" w:line="360" w:lineRule="auto"/>
        <w:ind w:right="567"/>
        <w:jc w:val="both"/>
        <w:rPr>
          <w:rFonts w:ascii="David" w:hAnsi="David"/>
          <w:rtl/>
        </w:rPr>
      </w:pPr>
    </w:p>
    <w:p w:rsidR="009A3EDE" w:rsidRPr="008C1981" w:rsidRDefault="009A3EDE" w:rsidP="009A3EDE">
      <w:pPr>
        <w:spacing w:after="120" w:line="360" w:lineRule="auto"/>
        <w:jc w:val="both"/>
        <w:rPr>
          <w:rFonts w:ascii="David" w:hAnsi="David"/>
          <w:b/>
          <w:bCs/>
          <w:u w:val="single"/>
          <w:rtl/>
        </w:rPr>
      </w:pPr>
      <w:r w:rsidRPr="008C1981">
        <w:rPr>
          <w:rFonts w:ascii="David" w:hAnsi="David"/>
          <w:b/>
          <w:bCs/>
          <w:u w:val="single"/>
          <w:rtl/>
        </w:rPr>
        <w:t>טענות המערער בכתב הערעור</w:t>
      </w:r>
    </w:p>
    <w:p w:rsidR="009A3EDE" w:rsidRPr="008C1981" w:rsidRDefault="009A3EDE" w:rsidP="009A3EDE">
      <w:pPr>
        <w:spacing w:after="120" w:line="360" w:lineRule="auto"/>
        <w:ind w:left="708" w:hanging="708"/>
        <w:jc w:val="both"/>
        <w:rPr>
          <w:rFonts w:ascii="David" w:hAnsi="David"/>
          <w:rtl/>
        </w:rPr>
      </w:pPr>
      <w:r>
        <w:rPr>
          <w:rFonts w:ascii="David" w:hAnsi="David" w:hint="cs"/>
          <w:rtl/>
        </w:rPr>
        <w:t>16</w:t>
      </w:r>
      <w:r w:rsidRPr="008C1981">
        <w:rPr>
          <w:rFonts w:ascii="David" w:hAnsi="David"/>
          <w:rtl/>
        </w:rPr>
        <w:t>.</w:t>
      </w:r>
      <w:r w:rsidRPr="008C1981">
        <w:rPr>
          <w:rFonts w:ascii="David" w:hAnsi="David"/>
          <w:rtl/>
        </w:rPr>
        <w:tab/>
      </w:r>
      <w:r w:rsidRPr="008C1981">
        <w:rPr>
          <w:rFonts w:ascii="David" w:hAnsi="David"/>
          <w:u w:val="single"/>
          <w:rtl/>
        </w:rPr>
        <w:t>להלן תמצית טענות המערער בכתב הערעור</w:t>
      </w:r>
      <w:r w:rsidRPr="008C1981">
        <w:rPr>
          <w:rFonts w:ascii="David" w:hAnsi="David"/>
          <w:rtl/>
        </w:rPr>
        <w:t>:</w:t>
      </w:r>
    </w:p>
    <w:p w:rsidR="009A3EDE" w:rsidRPr="008C1981" w:rsidRDefault="009A3EDE" w:rsidP="009A3EDE">
      <w:pPr>
        <w:spacing w:after="120" w:line="360" w:lineRule="auto"/>
        <w:ind w:left="1417" w:hanging="709"/>
        <w:jc w:val="both"/>
        <w:rPr>
          <w:rFonts w:ascii="David" w:hAnsi="David"/>
          <w:rtl/>
        </w:rPr>
      </w:pPr>
      <w:r w:rsidRPr="008C1981">
        <w:rPr>
          <w:rFonts w:ascii="David" w:hAnsi="David"/>
          <w:rtl/>
        </w:rPr>
        <w:t>א.</w:t>
      </w:r>
      <w:r w:rsidRPr="008C1981">
        <w:rPr>
          <w:rFonts w:ascii="David" w:hAnsi="David"/>
          <w:rtl/>
        </w:rPr>
        <w:tab/>
        <w:t xml:space="preserve">שגה בית משפט קמא במסקנתו העובדתית, לפיה המערער גרם לניכור הורי של הקטין </w:t>
      </w:r>
      <w:r>
        <w:rPr>
          <w:rFonts w:ascii="David" w:hAnsi="David"/>
          <w:rtl/>
        </w:rPr>
        <w:t>מא</w:t>
      </w:r>
      <w:r w:rsidRPr="008C1981">
        <w:rPr>
          <w:rFonts w:ascii="David" w:hAnsi="David"/>
          <w:rtl/>
        </w:rPr>
        <w:t>מו המשיבה. הוכח כי לא היה ניכור הורי מטעם המערער, וודאי לא היה זדון בפעולותיו לשם מניעת קשר. סרבנות הקשר מצד הקטין היא מסוג סרבנות היברידית, שמקו</w:t>
      </w:r>
      <w:r>
        <w:rPr>
          <w:rFonts w:ascii="David" w:hAnsi="David"/>
          <w:rtl/>
        </w:rPr>
        <w:t>רה ביחסיו העכורים של הקטין עם א</w:t>
      </w:r>
      <w:r w:rsidRPr="008C1981">
        <w:rPr>
          <w:rFonts w:ascii="David" w:hAnsi="David"/>
          <w:rtl/>
        </w:rPr>
        <w:t>מו ומ</w:t>
      </w:r>
      <w:r>
        <w:rPr>
          <w:rFonts w:ascii="David" w:hAnsi="David"/>
          <w:rtl/>
        </w:rPr>
        <w:t>עשיה כלפיו עוד בטרם ניתוק הקשר</w:t>
      </w:r>
      <w:r>
        <w:rPr>
          <w:rFonts w:ascii="David" w:hAnsi="David" w:hint="cs"/>
          <w:rtl/>
        </w:rPr>
        <w:t>; לרבות יוזמתה להכריז על הקטין "קטין נזקק" בבית משפט לנוער.</w:t>
      </w:r>
    </w:p>
    <w:p w:rsidR="009A3EDE" w:rsidRPr="008C1981" w:rsidRDefault="009A3EDE" w:rsidP="009A3EDE">
      <w:pPr>
        <w:spacing w:after="120" w:line="360" w:lineRule="auto"/>
        <w:ind w:left="1417" w:hanging="709"/>
        <w:jc w:val="both"/>
        <w:rPr>
          <w:rFonts w:ascii="David" w:hAnsi="David"/>
          <w:rtl/>
        </w:rPr>
      </w:pPr>
      <w:r w:rsidRPr="008C1981">
        <w:rPr>
          <w:rFonts w:ascii="David" w:hAnsi="David"/>
          <w:rtl/>
        </w:rPr>
        <w:t>ב.</w:t>
      </w:r>
      <w:r w:rsidRPr="008C1981">
        <w:rPr>
          <w:rFonts w:ascii="David" w:hAnsi="David"/>
          <w:rtl/>
        </w:rPr>
        <w:tab/>
        <w:t xml:space="preserve">מהראיות שהובאו בתיק קמא הוכח, כי במשך השנים המערער שיתף פעולה עם כלל הגורמים, הביא את הקטין לטיפולים ובדיקות, מימן אותם גם כאשר המשיבה הפסיקה את הטיפול ופעל בהתאם להחלטות שיפוטיות. </w:t>
      </w:r>
    </w:p>
    <w:p w:rsidR="009A3EDE" w:rsidRPr="008C1981" w:rsidRDefault="009A3EDE" w:rsidP="009A3EDE">
      <w:pPr>
        <w:spacing w:after="120" w:line="360" w:lineRule="auto"/>
        <w:ind w:left="1417" w:hanging="709"/>
        <w:jc w:val="both"/>
        <w:rPr>
          <w:rFonts w:ascii="David" w:hAnsi="David"/>
          <w:rtl/>
        </w:rPr>
      </w:pPr>
      <w:r w:rsidRPr="008C1981">
        <w:rPr>
          <w:rFonts w:ascii="David" w:hAnsi="David"/>
          <w:rtl/>
        </w:rPr>
        <w:t>ג.</w:t>
      </w:r>
      <w:r w:rsidRPr="008C1981">
        <w:rPr>
          <w:rFonts w:ascii="David" w:hAnsi="David"/>
          <w:rtl/>
        </w:rPr>
        <w:tab/>
        <w:t>אף לו תעמוד קביעת בית משפט קמא, כי המערער ביצע את העוולות המיוחסות לו, שגה בית משפט קמא משייחס למשיבה אשם תורם בשיעור 25% בלבד. לאור כל הראיות שהוכחו בתיק קמא, ברי כי התנהגותה של המשיבה היא שיצרה את סרבנות הקשר אצל הקטין מלכתחילה, השרישה אותה בקרבו וגרמה לקטין נזק נפשי.</w:t>
      </w:r>
    </w:p>
    <w:p w:rsidR="009A3EDE" w:rsidRPr="008C1981" w:rsidRDefault="009A3EDE" w:rsidP="009A3EDE">
      <w:pPr>
        <w:spacing w:after="120" w:line="360" w:lineRule="auto"/>
        <w:ind w:left="1417" w:hanging="709"/>
        <w:jc w:val="both"/>
        <w:rPr>
          <w:rFonts w:ascii="David" w:hAnsi="David"/>
          <w:rtl/>
        </w:rPr>
      </w:pPr>
      <w:r w:rsidRPr="008C1981">
        <w:rPr>
          <w:rFonts w:ascii="David" w:hAnsi="David"/>
          <w:rtl/>
        </w:rPr>
        <w:lastRenderedPageBreak/>
        <w:t>ד.</w:t>
      </w:r>
      <w:r w:rsidRPr="008C1981">
        <w:rPr>
          <w:rFonts w:ascii="David" w:hAnsi="David"/>
          <w:rtl/>
        </w:rPr>
        <w:tab/>
        <w:t>מבוקש כי בית משפט לערעור יקבע כי בנדון מתקיים אשם תורם מצד המשיבה, בשיעור כזה שאיננו מזכה את המשיבה בפיצוי. לחילופין, מבוקש לקבוע כי התנהגות המשיבה מהווה את החלק הארי לסרבנות הקשר מצד הקטין, ולכן ממזערת למינימום את הפיצוי המגיע לה מהמערער.</w:t>
      </w:r>
    </w:p>
    <w:p w:rsidR="009A3EDE" w:rsidRPr="008C1981" w:rsidRDefault="009A3EDE" w:rsidP="009A3EDE">
      <w:pPr>
        <w:spacing w:after="120" w:line="360" w:lineRule="auto"/>
        <w:ind w:left="1417" w:hanging="709"/>
        <w:jc w:val="both"/>
        <w:rPr>
          <w:rFonts w:ascii="David" w:hAnsi="David"/>
          <w:rtl/>
        </w:rPr>
      </w:pPr>
      <w:r w:rsidRPr="008C1981">
        <w:rPr>
          <w:rFonts w:ascii="David" w:hAnsi="David"/>
          <w:rtl/>
        </w:rPr>
        <w:t>ה.</w:t>
      </w:r>
      <w:r w:rsidRPr="008C1981">
        <w:rPr>
          <w:rFonts w:ascii="David" w:hAnsi="David"/>
          <w:rtl/>
        </w:rPr>
        <w:tab/>
        <w:t>גובה הפיצוי שנפסק לטובת המשיבה מצוי ברף העליון בגין ראש הנזק של כאב וסבל. יש להתערב ולקבוע סכום פיצוי נמוך משמעותית מזה שנפסק, באופן פרופורציונלי לנסיבות המקרה ולפסיקה. בגובה הפיצוי שנפסק יש מימד של פיצוי עונשי, הטומן בחובו תחושת אפליה מגדרית, בהיות המשיבה אם המנותקת קשר מבנה, לעומת פסקי דין אחרים בהם האב היה מנותק קשר וגובה הפיצוי נמוך יותר. התביעה קמא הוגשה בסכום מופרך ובלתי מבוסס, בשיטת "מצליח" עבור ראש נזק של הפרת זמני שהות, בעוד שאת גובה הפיצוי עבור ר</w:t>
      </w:r>
      <w:r>
        <w:rPr>
          <w:rFonts w:ascii="David" w:hAnsi="David"/>
          <w:rtl/>
        </w:rPr>
        <w:t>אש הנזק של כאב וסבל השאירה לש</w:t>
      </w:r>
      <w:r>
        <w:rPr>
          <w:rFonts w:ascii="David" w:hAnsi="David" w:hint="cs"/>
          <w:rtl/>
        </w:rPr>
        <w:t>יקול דעת</w:t>
      </w:r>
      <w:r w:rsidRPr="008C1981">
        <w:rPr>
          <w:rFonts w:ascii="David" w:hAnsi="David"/>
          <w:rtl/>
        </w:rPr>
        <w:t xml:space="preserve"> בית משפט קמא. </w:t>
      </w:r>
    </w:p>
    <w:p w:rsidR="009A3EDE" w:rsidRPr="008C1981" w:rsidRDefault="009A3EDE" w:rsidP="009A3EDE">
      <w:pPr>
        <w:spacing w:after="120" w:line="360" w:lineRule="auto"/>
        <w:ind w:left="1417" w:hanging="709"/>
        <w:jc w:val="both"/>
        <w:rPr>
          <w:rFonts w:ascii="David" w:hAnsi="David"/>
          <w:rtl/>
        </w:rPr>
      </w:pPr>
      <w:r w:rsidRPr="008C1981">
        <w:rPr>
          <w:rFonts w:ascii="David" w:hAnsi="David"/>
          <w:rtl/>
        </w:rPr>
        <w:t>ו.</w:t>
      </w:r>
      <w:r w:rsidRPr="008C1981">
        <w:rPr>
          <w:rFonts w:ascii="David" w:hAnsi="David"/>
          <w:rtl/>
        </w:rPr>
        <w:tab/>
        <w:t>השוואה לפסיקה מקבילה, שאף הובאה בפסק הדין קמא, מלמדת כי גדרי הפיצוי בפסיקה עבור ראש הנזק של כאב וסבל בגין ניכור, אינם כפי שהוצגו; בפסקי הדין בהם נפסק הרף הגבוה של פיצוי, הוא נפסק בגין עוולות נוספות ו/או כאשר הנסיבות היו חמורות מ</w:t>
      </w:r>
      <w:r>
        <w:rPr>
          <w:rFonts w:ascii="David" w:hAnsi="David" w:hint="cs"/>
          <w:rtl/>
        </w:rPr>
        <w:t xml:space="preserve">אשר </w:t>
      </w:r>
      <w:r w:rsidRPr="008C1981">
        <w:rPr>
          <w:rFonts w:ascii="David" w:hAnsi="David"/>
          <w:rtl/>
        </w:rPr>
        <w:t>בענייננו. לאור זאת, יש להפחית משמעותית את הפיצוי בגין ראש נזק זה.</w:t>
      </w:r>
    </w:p>
    <w:p w:rsidR="009A3EDE" w:rsidRPr="008C1981" w:rsidRDefault="009A3EDE" w:rsidP="009A3EDE">
      <w:pPr>
        <w:spacing w:after="120" w:line="360" w:lineRule="auto"/>
        <w:ind w:left="1417" w:hanging="709"/>
        <w:jc w:val="both"/>
        <w:rPr>
          <w:rFonts w:ascii="David" w:hAnsi="David"/>
          <w:rtl/>
        </w:rPr>
      </w:pPr>
      <w:r w:rsidRPr="008C1981">
        <w:rPr>
          <w:rFonts w:ascii="David" w:hAnsi="David"/>
          <w:rtl/>
        </w:rPr>
        <w:t>ז.</w:t>
      </w:r>
      <w:r w:rsidRPr="008C1981">
        <w:rPr>
          <w:rFonts w:ascii="David" w:hAnsi="David"/>
          <w:rtl/>
        </w:rPr>
        <w:tab/>
        <w:t xml:space="preserve">שגה בית משפט קמא בפסקו סכום הוצאות ושכ"ט עו"ד בגובה </w:t>
      </w:r>
      <w:r>
        <w:rPr>
          <w:rFonts w:ascii="David" w:hAnsi="David" w:hint="cs"/>
          <w:rtl/>
        </w:rPr>
        <w:t>55,000</w:t>
      </w:r>
      <w:r w:rsidRPr="008C1981">
        <w:rPr>
          <w:rFonts w:ascii="David" w:hAnsi="David"/>
          <w:rtl/>
        </w:rPr>
        <w:t xml:space="preserve"> ₪. מבוקש להתערב ולהפחית משמעותית את סכום ההוצאות. לא מדובר בהוצאות סבירות והוגנות כלפי המערער, אלא נושאות בחובן מרכיב עונשי; פסיקת ההוצאות לא נומקה בפסק הדין ואף לא נמצאה התנהלות לא נאותה של המערער וב"כ בהליך קמא; לא הוכחו באסמכתאות הוצאות המשיבה בניהול ההליך קמא או שכ"ט בא כוחה; לא ניתן לייחס את סכום ההוצאות לשווי הסעד ביחס לשווי התביעה. לעומת זאת, המשיבה גרמה בהתנהלותה להתארכות ההליך קמא.</w:t>
      </w:r>
    </w:p>
    <w:p w:rsidR="009A3EDE" w:rsidRPr="008C1981" w:rsidRDefault="009A3EDE" w:rsidP="009A3EDE">
      <w:pPr>
        <w:spacing w:after="120" w:line="360" w:lineRule="auto"/>
        <w:ind w:left="567" w:hanging="567"/>
        <w:jc w:val="both"/>
        <w:rPr>
          <w:rFonts w:ascii="David" w:hAnsi="David"/>
          <w:rtl/>
        </w:rPr>
      </w:pPr>
    </w:p>
    <w:p w:rsidR="009A3EDE" w:rsidRPr="008C1981" w:rsidRDefault="009A3EDE" w:rsidP="009A3EDE">
      <w:pPr>
        <w:spacing w:after="120" w:line="360" w:lineRule="auto"/>
        <w:ind w:left="567" w:hanging="567"/>
        <w:jc w:val="both"/>
        <w:rPr>
          <w:rFonts w:ascii="David" w:hAnsi="David"/>
          <w:b/>
          <w:bCs/>
          <w:u w:val="single"/>
          <w:rtl/>
        </w:rPr>
      </w:pPr>
      <w:r w:rsidRPr="008C1981">
        <w:rPr>
          <w:rFonts w:ascii="David" w:hAnsi="David"/>
          <w:b/>
          <w:bCs/>
          <w:u w:val="single"/>
          <w:rtl/>
        </w:rPr>
        <w:t>טענות המשיבה בכתב התשובה</w:t>
      </w:r>
    </w:p>
    <w:p w:rsidR="009A3EDE" w:rsidRPr="008C1981" w:rsidRDefault="009A3EDE" w:rsidP="009A3EDE">
      <w:pPr>
        <w:spacing w:after="120" w:line="360" w:lineRule="auto"/>
        <w:ind w:left="708" w:hanging="708"/>
        <w:jc w:val="both"/>
        <w:rPr>
          <w:rFonts w:ascii="David" w:hAnsi="David"/>
          <w:rtl/>
        </w:rPr>
      </w:pPr>
      <w:r>
        <w:rPr>
          <w:rFonts w:ascii="David" w:hAnsi="David" w:hint="cs"/>
          <w:rtl/>
        </w:rPr>
        <w:t>17</w:t>
      </w:r>
      <w:r w:rsidRPr="008C1981">
        <w:rPr>
          <w:rFonts w:ascii="David" w:hAnsi="David"/>
          <w:rtl/>
        </w:rPr>
        <w:t>.</w:t>
      </w:r>
      <w:r w:rsidRPr="008C1981">
        <w:rPr>
          <w:rFonts w:ascii="David" w:hAnsi="David"/>
          <w:rtl/>
        </w:rPr>
        <w:tab/>
      </w:r>
      <w:r w:rsidRPr="008C1981">
        <w:rPr>
          <w:rFonts w:ascii="David" w:hAnsi="David"/>
          <w:u w:val="single"/>
          <w:rtl/>
        </w:rPr>
        <w:t>להלן תמצית טענות המשיבה בכתב התשובה</w:t>
      </w:r>
      <w:r w:rsidRPr="008C1981">
        <w:rPr>
          <w:rFonts w:ascii="David" w:hAnsi="David"/>
          <w:rtl/>
        </w:rPr>
        <w:t>:</w:t>
      </w:r>
      <w:r w:rsidRPr="008C1981">
        <w:rPr>
          <w:rFonts w:ascii="David" w:hAnsi="David"/>
          <w:rtl/>
        </w:rPr>
        <w:tab/>
      </w:r>
    </w:p>
    <w:p w:rsidR="009A3EDE" w:rsidRPr="008C1981" w:rsidRDefault="009A3EDE" w:rsidP="009A3EDE">
      <w:pPr>
        <w:spacing w:after="120" w:line="360" w:lineRule="auto"/>
        <w:ind w:left="1417" w:hanging="709"/>
        <w:jc w:val="both"/>
        <w:rPr>
          <w:rFonts w:ascii="David" w:hAnsi="David"/>
          <w:rtl/>
        </w:rPr>
      </w:pPr>
      <w:r w:rsidRPr="008C1981">
        <w:rPr>
          <w:rFonts w:ascii="David" w:hAnsi="David"/>
          <w:rtl/>
        </w:rPr>
        <w:t>א.</w:t>
      </w:r>
      <w:r w:rsidRPr="008C1981">
        <w:rPr>
          <w:rFonts w:ascii="David" w:hAnsi="David"/>
          <w:rtl/>
        </w:rPr>
        <w:tab/>
      </w:r>
      <w:r>
        <w:rPr>
          <w:rFonts w:ascii="David" w:hAnsi="David" w:hint="cs"/>
          <w:rtl/>
        </w:rPr>
        <w:t>פסק הדין קמא ארוך, מנומק ומפורט, וכולל בחובו ממצאי מהימנות ועובדה המגובים ונתמכים היטב בחומר הראיות שבתיק. המותב קמא אף הכיר את הצדדים ואת הסכסוך ביניהם, התרשם מהצדדים ומעדיהם באופן בלתי אמצעי; לא בנקל תתערב ערכאת הערעור בממצאי עובדה ומהימנות, ולכן דין הערעור דחייה.</w:t>
      </w:r>
    </w:p>
    <w:p w:rsidR="009A3EDE" w:rsidRPr="008C1981" w:rsidRDefault="009A3EDE" w:rsidP="009A3EDE">
      <w:pPr>
        <w:spacing w:after="120" w:line="360" w:lineRule="auto"/>
        <w:ind w:left="1417" w:hanging="709"/>
        <w:jc w:val="both"/>
        <w:rPr>
          <w:rFonts w:ascii="David" w:hAnsi="David"/>
          <w:rtl/>
        </w:rPr>
      </w:pPr>
      <w:r w:rsidRPr="008C1981">
        <w:rPr>
          <w:rFonts w:ascii="David" w:hAnsi="David"/>
          <w:rtl/>
        </w:rPr>
        <w:t>ב.</w:t>
      </w:r>
      <w:r w:rsidRPr="008C1981">
        <w:rPr>
          <w:rFonts w:ascii="David" w:hAnsi="David"/>
          <w:rtl/>
        </w:rPr>
        <w:tab/>
      </w:r>
      <w:r>
        <w:rPr>
          <w:rFonts w:ascii="David" w:hAnsi="David" w:hint="cs"/>
          <w:rtl/>
        </w:rPr>
        <w:t xml:space="preserve">סרבנות הקשר מצד הקטין איננה ולא היתה סרבנות היברידית. הקטין הושפע מאביו המערער, פחדו ממנו ואלימות שהפעיל על הקטין גברו על אהבתו לאמו. המערער עודד את הבן לפעול באלימות כלפי המשיבה, ובנה בקרבו נרטיב לפיו המשיבה היא אלימה. </w:t>
      </w:r>
    </w:p>
    <w:p w:rsidR="009A3EDE" w:rsidRPr="008C1981" w:rsidRDefault="009A3EDE" w:rsidP="009A3EDE">
      <w:pPr>
        <w:spacing w:after="120" w:line="360" w:lineRule="auto"/>
        <w:ind w:left="1417" w:hanging="709"/>
        <w:jc w:val="both"/>
        <w:rPr>
          <w:rFonts w:ascii="David" w:hAnsi="David"/>
          <w:rtl/>
        </w:rPr>
      </w:pPr>
      <w:r w:rsidRPr="008C1981">
        <w:rPr>
          <w:rFonts w:ascii="David" w:hAnsi="David"/>
          <w:rtl/>
        </w:rPr>
        <w:t>ג.</w:t>
      </w:r>
      <w:r w:rsidRPr="008C1981">
        <w:rPr>
          <w:rFonts w:ascii="David" w:hAnsi="David"/>
          <w:rtl/>
        </w:rPr>
        <w:tab/>
      </w:r>
      <w:r>
        <w:rPr>
          <w:rFonts w:ascii="David" w:hAnsi="David" w:hint="cs"/>
          <w:rtl/>
        </w:rPr>
        <w:t xml:space="preserve">אין ממש בגרסת המערער, כי המשיבה יזמה הליך להכריז על הבן קטין נזקק. מי שיזם את ההליך היתה עו"ס לחוק הנוער ממחלקת הרווחה. מכאן, אין ממש בקביעת פסק הדין קמא כי למשיבה יש </w:t>
      </w:r>
      <w:r>
        <w:rPr>
          <w:rFonts w:ascii="David" w:hAnsi="David" w:hint="cs"/>
          <w:rtl/>
        </w:rPr>
        <w:lastRenderedPageBreak/>
        <w:t>אשם תורם מאחר ש"לא נמנעה מנקיטת הליך נזקקות". כך גם לעניין הטיפול שקיבל הקטין, התברר למשיבה כי הטיפול לא כולל תכנית לחידוש הקשר או שיפור המצב עם הקטין, וכי משרת רק את האינטרסים של המערער.</w:t>
      </w:r>
    </w:p>
    <w:p w:rsidR="009A3EDE" w:rsidRDefault="009A3EDE" w:rsidP="009A3EDE">
      <w:pPr>
        <w:spacing w:after="120" w:line="360" w:lineRule="auto"/>
        <w:ind w:left="1417" w:hanging="709"/>
        <w:jc w:val="both"/>
        <w:rPr>
          <w:rFonts w:ascii="David" w:hAnsi="David"/>
          <w:rtl/>
        </w:rPr>
      </w:pPr>
      <w:r w:rsidRPr="008C1981">
        <w:rPr>
          <w:rFonts w:ascii="David" w:hAnsi="David"/>
          <w:rtl/>
        </w:rPr>
        <w:t>ד.</w:t>
      </w:r>
      <w:r w:rsidRPr="008C1981">
        <w:rPr>
          <w:rFonts w:ascii="David" w:hAnsi="David"/>
          <w:rtl/>
        </w:rPr>
        <w:tab/>
      </w:r>
      <w:r>
        <w:rPr>
          <w:rFonts w:ascii="David" w:hAnsi="David" w:hint="cs"/>
          <w:rtl/>
        </w:rPr>
        <w:t xml:space="preserve">בניגוד לטענות המערער, המשיבה נשאה בתשלום סך של 50,000 ₪ בגין ההליך קמא; לרבות 20,000 בגין הבקשה לצו הגנה מטעם המערער; סך של 23,400 שכ"ט לעו"ד וכן אגרת בית משפט בסך 10,000 ₪. </w:t>
      </w:r>
    </w:p>
    <w:p w:rsidR="009A3EDE" w:rsidRPr="008C1981" w:rsidRDefault="009A3EDE" w:rsidP="009A3EDE">
      <w:pPr>
        <w:spacing w:after="120" w:line="360" w:lineRule="auto"/>
        <w:ind w:left="1417" w:hanging="709"/>
        <w:jc w:val="both"/>
        <w:rPr>
          <w:rFonts w:ascii="David" w:hAnsi="David"/>
          <w:rtl/>
        </w:rPr>
      </w:pPr>
      <w:r>
        <w:rPr>
          <w:rFonts w:ascii="David" w:hAnsi="David" w:hint="cs"/>
          <w:rtl/>
        </w:rPr>
        <w:t>ה.</w:t>
      </w:r>
      <w:r>
        <w:rPr>
          <w:rFonts w:ascii="David" w:hAnsi="David" w:hint="cs"/>
          <w:rtl/>
        </w:rPr>
        <w:tab/>
        <w:t>יש לדחות את הערעור על הסף ולחייב את המערער בהוצאות משפט ושכ"ט עו"ד ריאלי.</w:t>
      </w:r>
    </w:p>
    <w:p w:rsidR="009A3EDE" w:rsidRPr="008C1981" w:rsidRDefault="009A3EDE" w:rsidP="009A3EDE">
      <w:pPr>
        <w:spacing w:after="120" w:line="360" w:lineRule="auto"/>
        <w:ind w:left="567" w:hanging="567"/>
        <w:jc w:val="both"/>
        <w:rPr>
          <w:rFonts w:ascii="David" w:hAnsi="David"/>
          <w:rtl/>
        </w:rPr>
      </w:pPr>
    </w:p>
    <w:p w:rsidR="009A3EDE" w:rsidRPr="008C1981" w:rsidRDefault="009A3EDE" w:rsidP="009A3EDE">
      <w:pPr>
        <w:spacing w:after="120" w:line="360" w:lineRule="auto"/>
        <w:ind w:left="567" w:hanging="567"/>
        <w:jc w:val="both"/>
        <w:rPr>
          <w:rFonts w:ascii="David" w:hAnsi="David"/>
          <w:b/>
          <w:bCs/>
          <w:u w:val="single"/>
          <w:rtl/>
        </w:rPr>
      </w:pPr>
      <w:r w:rsidRPr="008C1981">
        <w:rPr>
          <w:rFonts w:ascii="David" w:hAnsi="David"/>
          <w:b/>
          <w:bCs/>
          <w:u w:val="single"/>
          <w:rtl/>
        </w:rPr>
        <w:t>דיון בערעור ביום 28.10.2024</w:t>
      </w:r>
    </w:p>
    <w:p w:rsidR="009A3EDE" w:rsidRPr="0092079B" w:rsidRDefault="009A3EDE" w:rsidP="009A3EDE">
      <w:pPr>
        <w:spacing w:after="120" w:line="360" w:lineRule="auto"/>
        <w:ind w:left="708" w:hanging="708"/>
        <w:jc w:val="both"/>
        <w:rPr>
          <w:rFonts w:ascii="David" w:hAnsi="David"/>
          <w:rtl/>
        </w:rPr>
      </w:pPr>
      <w:r>
        <w:rPr>
          <w:rFonts w:ascii="David" w:hAnsi="David" w:hint="cs"/>
          <w:rtl/>
        </w:rPr>
        <w:t>18</w:t>
      </w:r>
      <w:r w:rsidRPr="008C1981">
        <w:rPr>
          <w:rFonts w:ascii="David" w:hAnsi="David"/>
          <w:rtl/>
        </w:rPr>
        <w:t>.</w:t>
      </w:r>
      <w:r w:rsidRPr="008C1981">
        <w:rPr>
          <w:rFonts w:ascii="David" w:hAnsi="David"/>
          <w:rtl/>
        </w:rPr>
        <w:tab/>
      </w:r>
      <w:r>
        <w:rPr>
          <w:rFonts w:ascii="David" w:hAnsi="David" w:hint="cs"/>
          <w:rtl/>
        </w:rPr>
        <w:t xml:space="preserve">לדיון התייצבו שני הצדדים ובאי כוחם. </w:t>
      </w:r>
    </w:p>
    <w:p w:rsidR="009A3EDE" w:rsidRPr="0092079B" w:rsidRDefault="009A3EDE" w:rsidP="009A3EDE">
      <w:pPr>
        <w:spacing w:after="120" w:line="360" w:lineRule="auto"/>
        <w:ind w:left="708" w:hanging="709"/>
        <w:jc w:val="both"/>
        <w:rPr>
          <w:rFonts w:ascii="David" w:hAnsi="David"/>
          <w:rtl/>
        </w:rPr>
      </w:pPr>
      <w:r w:rsidRPr="0092079B">
        <w:rPr>
          <w:rFonts w:ascii="David" w:hAnsi="David"/>
          <w:b/>
          <w:bCs/>
          <w:rtl/>
        </w:rPr>
        <w:tab/>
      </w:r>
      <w:r>
        <w:rPr>
          <w:rFonts w:ascii="David" w:hAnsi="David"/>
          <w:b/>
          <w:bCs/>
          <w:u w:val="single"/>
          <w:rtl/>
        </w:rPr>
        <w:t>ב"כ המערער</w:t>
      </w:r>
      <w:r>
        <w:rPr>
          <w:rFonts w:ascii="David" w:hAnsi="David" w:hint="cs"/>
          <w:rtl/>
        </w:rPr>
        <w:t xml:space="preserve"> חזרה על טענותיה מכתב הערעור, והוסיפה כי לדידה, </w:t>
      </w:r>
      <w:r w:rsidRPr="0092079B">
        <w:rPr>
          <w:rFonts w:ascii="David" w:hAnsi="David"/>
          <w:rtl/>
        </w:rPr>
        <w:t>לא מדובר במקרה קלאסי של ניתוק קשר</w:t>
      </w:r>
      <w:r>
        <w:rPr>
          <w:rFonts w:ascii="David" w:hAnsi="David" w:hint="cs"/>
          <w:rtl/>
        </w:rPr>
        <w:t xml:space="preserve"> </w:t>
      </w:r>
      <w:r w:rsidRPr="0092079B">
        <w:rPr>
          <w:rFonts w:ascii="David" w:hAnsi="David"/>
          <w:rtl/>
        </w:rPr>
        <w:t xml:space="preserve">שנובע </w:t>
      </w:r>
      <w:r>
        <w:rPr>
          <w:rFonts w:ascii="David" w:hAnsi="David" w:hint="cs"/>
          <w:rtl/>
        </w:rPr>
        <w:t>מ</w:t>
      </w:r>
      <w:r w:rsidRPr="0092079B">
        <w:rPr>
          <w:rFonts w:ascii="David" w:hAnsi="David"/>
          <w:rtl/>
        </w:rPr>
        <w:t>ניכור הורי והסתה בזדון וזלזול של המערער, כפי שנקבע בפסיקה</w:t>
      </w:r>
      <w:r>
        <w:rPr>
          <w:rFonts w:ascii="David" w:hAnsi="David" w:hint="cs"/>
          <w:rtl/>
        </w:rPr>
        <w:t xml:space="preserve">. </w:t>
      </w:r>
      <w:r w:rsidRPr="0092079B">
        <w:rPr>
          <w:rFonts w:ascii="David" w:hAnsi="David"/>
          <w:rtl/>
        </w:rPr>
        <w:t xml:space="preserve">במקרה </w:t>
      </w:r>
      <w:r>
        <w:rPr>
          <w:rFonts w:ascii="David" w:hAnsi="David" w:hint="cs"/>
          <w:rtl/>
        </w:rPr>
        <w:t>הנוכחי,</w:t>
      </w:r>
      <w:r>
        <w:rPr>
          <w:rFonts w:ascii="David" w:hAnsi="David"/>
          <w:rtl/>
        </w:rPr>
        <w:t xml:space="preserve"> לא ניתן לטעון</w:t>
      </w:r>
      <w:r>
        <w:rPr>
          <w:rFonts w:ascii="David" w:hAnsi="David" w:hint="cs"/>
          <w:rtl/>
        </w:rPr>
        <w:t xml:space="preserve"> </w:t>
      </w:r>
      <w:r w:rsidRPr="0092079B">
        <w:rPr>
          <w:rFonts w:ascii="David" w:hAnsi="David"/>
          <w:rtl/>
        </w:rPr>
        <w:t>שערכאת הערעור לא מתערבת בממצאי עו</w:t>
      </w:r>
      <w:r>
        <w:rPr>
          <w:rFonts w:ascii="David" w:hAnsi="David"/>
          <w:rtl/>
        </w:rPr>
        <w:t xml:space="preserve">בדה ומהימנות, שכן במקרה זה בית </w:t>
      </w:r>
      <w:r w:rsidRPr="0092079B">
        <w:rPr>
          <w:rFonts w:ascii="David" w:hAnsi="David"/>
          <w:rtl/>
        </w:rPr>
        <w:t xml:space="preserve">משפט קמא שגה בכך שהתעלם </w:t>
      </w:r>
      <w:r>
        <w:rPr>
          <w:rFonts w:ascii="David" w:hAnsi="David"/>
          <w:rtl/>
        </w:rPr>
        <w:t>לחלוטין מראיות שהיו קיימות בתיק</w:t>
      </w:r>
      <w:r>
        <w:rPr>
          <w:rFonts w:ascii="David" w:hAnsi="David" w:hint="cs"/>
          <w:rtl/>
        </w:rPr>
        <w:t>ים קמא</w:t>
      </w:r>
      <w:r w:rsidRPr="0092079B">
        <w:rPr>
          <w:rFonts w:ascii="David" w:hAnsi="David"/>
          <w:rtl/>
        </w:rPr>
        <w:t xml:space="preserve">, </w:t>
      </w:r>
      <w:r>
        <w:rPr>
          <w:rFonts w:ascii="David" w:hAnsi="David" w:hint="cs"/>
          <w:rtl/>
        </w:rPr>
        <w:t xml:space="preserve">המצביעות על </w:t>
      </w:r>
      <w:r>
        <w:rPr>
          <w:rFonts w:ascii="David" w:hAnsi="David"/>
          <w:rtl/>
        </w:rPr>
        <w:t>שורש סרבנות הקשר של הקטין</w:t>
      </w:r>
      <w:r>
        <w:rPr>
          <w:rFonts w:ascii="David" w:hAnsi="David" w:hint="cs"/>
          <w:rtl/>
        </w:rPr>
        <w:t>.</w:t>
      </w:r>
      <w:r w:rsidRPr="0092079B">
        <w:rPr>
          <w:rFonts w:ascii="David" w:hAnsi="David"/>
          <w:rtl/>
        </w:rPr>
        <w:t xml:space="preserve"> נגרם עיוות די</w:t>
      </w:r>
      <w:r>
        <w:rPr>
          <w:rFonts w:ascii="David" w:hAnsi="David"/>
          <w:rtl/>
        </w:rPr>
        <w:t xml:space="preserve">ן שמחייב התערבות של </w:t>
      </w:r>
      <w:r>
        <w:rPr>
          <w:rFonts w:ascii="David" w:hAnsi="David" w:hint="cs"/>
          <w:rtl/>
        </w:rPr>
        <w:t>ערכאת ה</w:t>
      </w:r>
      <w:r w:rsidRPr="0092079B">
        <w:rPr>
          <w:rFonts w:ascii="David" w:hAnsi="David"/>
          <w:rtl/>
        </w:rPr>
        <w:t xml:space="preserve">ערעור. </w:t>
      </w:r>
    </w:p>
    <w:p w:rsidR="009A3EDE" w:rsidRDefault="009A3EDE" w:rsidP="009A3EDE">
      <w:pPr>
        <w:spacing w:after="120" w:line="360" w:lineRule="auto"/>
        <w:jc w:val="both"/>
        <w:rPr>
          <w:rFonts w:ascii="David" w:hAnsi="David"/>
          <w:rtl/>
        </w:rPr>
      </w:pPr>
      <w:r>
        <w:rPr>
          <w:rFonts w:ascii="David" w:hAnsi="David"/>
          <w:rtl/>
        </w:rPr>
        <w:tab/>
      </w:r>
      <w:r>
        <w:rPr>
          <w:rFonts w:ascii="David" w:hAnsi="David" w:hint="cs"/>
          <w:rtl/>
        </w:rPr>
        <w:t xml:space="preserve">בכל הנוגע </w:t>
      </w:r>
      <w:r>
        <w:rPr>
          <w:rFonts w:ascii="David" w:hAnsi="David"/>
          <w:rtl/>
        </w:rPr>
        <w:t xml:space="preserve">לשאלת הפיצויים, </w:t>
      </w:r>
      <w:r>
        <w:rPr>
          <w:rFonts w:ascii="David" w:hAnsi="David" w:hint="cs"/>
          <w:rtl/>
        </w:rPr>
        <w:t>לטענתה מאחר ש</w:t>
      </w:r>
      <w:r>
        <w:rPr>
          <w:rFonts w:ascii="David" w:hAnsi="David"/>
          <w:rtl/>
        </w:rPr>
        <w:t>שורש הסרבנות הוא מהקטין, שנוצר נדבכי</w:t>
      </w:r>
      <w:r>
        <w:rPr>
          <w:rFonts w:ascii="David" w:hAnsi="David" w:hint="cs"/>
          <w:rtl/>
        </w:rPr>
        <w:t>ם</w:t>
      </w:r>
      <w:r w:rsidRPr="0092079B">
        <w:rPr>
          <w:rFonts w:ascii="David" w:hAnsi="David"/>
          <w:rtl/>
        </w:rPr>
        <w:t xml:space="preserve"> על גבי נדבכים </w:t>
      </w:r>
      <w:r>
        <w:rPr>
          <w:rFonts w:ascii="David" w:hAnsi="David"/>
          <w:rtl/>
        </w:rPr>
        <w:tab/>
      </w:r>
      <w:r w:rsidRPr="0092079B">
        <w:rPr>
          <w:rFonts w:ascii="David" w:hAnsi="David"/>
          <w:rtl/>
        </w:rPr>
        <w:t>עם אשר תורם חזק</w:t>
      </w:r>
      <w:r>
        <w:rPr>
          <w:rFonts w:ascii="David" w:hAnsi="David" w:hint="cs"/>
          <w:rtl/>
        </w:rPr>
        <w:t xml:space="preserve"> מצד המשיבה</w:t>
      </w:r>
      <w:r w:rsidRPr="0092079B">
        <w:rPr>
          <w:rFonts w:ascii="David" w:hAnsi="David"/>
          <w:rtl/>
        </w:rPr>
        <w:t xml:space="preserve">, </w:t>
      </w:r>
      <w:r>
        <w:rPr>
          <w:rFonts w:ascii="David" w:hAnsi="David" w:hint="cs"/>
          <w:rtl/>
        </w:rPr>
        <w:t>יש</w:t>
      </w:r>
      <w:r w:rsidRPr="0092079B">
        <w:rPr>
          <w:rFonts w:ascii="David" w:hAnsi="David"/>
          <w:rtl/>
        </w:rPr>
        <w:t xml:space="preserve"> להתערב בגובה </w:t>
      </w:r>
      <w:r>
        <w:rPr>
          <w:rFonts w:ascii="David" w:hAnsi="David"/>
          <w:rtl/>
        </w:rPr>
        <w:t>אחוז האשם התורם</w:t>
      </w:r>
      <w:r>
        <w:rPr>
          <w:rFonts w:ascii="David" w:hAnsi="David" w:hint="cs"/>
          <w:rtl/>
        </w:rPr>
        <w:t>. נטען ל</w:t>
      </w:r>
      <w:r w:rsidRPr="0092079B">
        <w:rPr>
          <w:rFonts w:ascii="David" w:hAnsi="David"/>
          <w:rtl/>
        </w:rPr>
        <w:t xml:space="preserve">- 100 אחוז </w:t>
      </w:r>
      <w:r>
        <w:rPr>
          <w:rFonts w:ascii="David" w:hAnsi="David" w:hint="cs"/>
          <w:rtl/>
        </w:rPr>
        <w:t xml:space="preserve">אשם תורם </w:t>
      </w:r>
      <w:r>
        <w:rPr>
          <w:rFonts w:ascii="David" w:hAnsi="David"/>
          <w:rtl/>
        </w:rPr>
        <w:tab/>
      </w:r>
      <w:r>
        <w:rPr>
          <w:rFonts w:ascii="David" w:hAnsi="David" w:hint="cs"/>
          <w:rtl/>
        </w:rPr>
        <w:t xml:space="preserve">מצד המשיבה, </w:t>
      </w:r>
      <w:r>
        <w:rPr>
          <w:rFonts w:ascii="David" w:hAnsi="David"/>
          <w:rtl/>
        </w:rPr>
        <w:t>או לפחות חלק הארי</w:t>
      </w:r>
      <w:r>
        <w:rPr>
          <w:rFonts w:ascii="David" w:hAnsi="David" w:hint="cs"/>
          <w:rtl/>
        </w:rPr>
        <w:t>.</w:t>
      </w:r>
    </w:p>
    <w:p w:rsidR="009A3EDE" w:rsidRPr="0092079B" w:rsidRDefault="009A3EDE" w:rsidP="009A3EDE">
      <w:pPr>
        <w:spacing w:after="120" w:line="360" w:lineRule="auto"/>
        <w:ind w:left="708" w:hanging="709"/>
        <w:jc w:val="both"/>
        <w:rPr>
          <w:rFonts w:ascii="David" w:hAnsi="David"/>
          <w:rtl/>
        </w:rPr>
      </w:pPr>
      <w:r>
        <w:rPr>
          <w:rFonts w:ascii="David" w:hAnsi="David"/>
          <w:rtl/>
        </w:rPr>
        <w:tab/>
      </w:r>
      <w:r w:rsidRPr="0092079B">
        <w:rPr>
          <w:rFonts w:ascii="David" w:hAnsi="David"/>
          <w:rtl/>
        </w:rPr>
        <w:t xml:space="preserve">מבחינת גובה הפיצוי </w:t>
      </w:r>
      <w:r>
        <w:rPr>
          <w:rFonts w:ascii="David" w:hAnsi="David" w:hint="cs"/>
          <w:rtl/>
        </w:rPr>
        <w:t>שנפסק</w:t>
      </w:r>
      <w:r>
        <w:rPr>
          <w:rFonts w:ascii="David" w:hAnsi="David"/>
          <w:rtl/>
        </w:rPr>
        <w:t xml:space="preserve">, </w:t>
      </w:r>
      <w:r>
        <w:rPr>
          <w:rFonts w:ascii="David" w:hAnsi="David" w:hint="cs"/>
          <w:rtl/>
        </w:rPr>
        <w:t xml:space="preserve">לטענתה </w:t>
      </w:r>
      <w:r>
        <w:rPr>
          <w:rFonts w:ascii="David" w:hAnsi="David"/>
          <w:rtl/>
        </w:rPr>
        <w:t>ה</w:t>
      </w:r>
      <w:r>
        <w:rPr>
          <w:rFonts w:ascii="David" w:hAnsi="David" w:hint="cs"/>
          <w:rtl/>
        </w:rPr>
        <w:t>וא</w:t>
      </w:r>
      <w:r>
        <w:rPr>
          <w:rFonts w:ascii="David" w:hAnsi="David"/>
          <w:rtl/>
        </w:rPr>
        <w:t xml:space="preserve"> לא פרופורציוני ל</w:t>
      </w:r>
      <w:r>
        <w:rPr>
          <w:rFonts w:ascii="David" w:hAnsi="David" w:hint="cs"/>
          <w:rtl/>
        </w:rPr>
        <w:t>מה שמופיע</w:t>
      </w:r>
      <w:r w:rsidRPr="0092079B">
        <w:rPr>
          <w:rFonts w:ascii="David" w:hAnsi="David"/>
          <w:rtl/>
        </w:rPr>
        <w:t xml:space="preserve"> בפסיקה. </w:t>
      </w:r>
      <w:r>
        <w:rPr>
          <w:rFonts w:ascii="David" w:hAnsi="David"/>
          <w:rtl/>
        </w:rPr>
        <w:t>בפסק דין ש</w:t>
      </w:r>
      <w:r>
        <w:rPr>
          <w:rFonts w:ascii="David" w:hAnsi="David" w:hint="cs"/>
          <w:rtl/>
        </w:rPr>
        <w:t>פורסם</w:t>
      </w:r>
      <w:r w:rsidRPr="0092079B">
        <w:rPr>
          <w:rFonts w:ascii="David" w:hAnsi="David"/>
          <w:rtl/>
        </w:rPr>
        <w:t xml:space="preserve"> </w:t>
      </w:r>
      <w:r>
        <w:rPr>
          <w:rFonts w:ascii="David" w:hAnsi="David" w:hint="cs"/>
          <w:rtl/>
        </w:rPr>
        <w:t>(</w:t>
      </w:r>
      <w:r w:rsidRPr="0092079B">
        <w:rPr>
          <w:rFonts w:ascii="David" w:hAnsi="David"/>
          <w:rtl/>
        </w:rPr>
        <w:t>תלה"מ 6</w:t>
      </w:r>
      <w:r>
        <w:rPr>
          <w:rFonts w:ascii="David" w:hAnsi="David"/>
          <w:rtl/>
        </w:rPr>
        <w:t>153-05-23</w:t>
      </w:r>
      <w:r>
        <w:rPr>
          <w:rFonts w:ascii="David" w:hAnsi="David" w:hint="cs"/>
          <w:rtl/>
        </w:rPr>
        <w:t xml:space="preserve"> </w:t>
      </w:r>
      <w:r w:rsidRPr="0092079B">
        <w:rPr>
          <w:rFonts w:ascii="David" w:hAnsi="David"/>
          <w:rtl/>
        </w:rPr>
        <w:t>מיום 6.6.23</w:t>
      </w:r>
      <w:r>
        <w:rPr>
          <w:rFonts w:ascii="David" w:hAnsi="David" w:hint="cs"/>
          <w:rtl/>
        </w:rPr>
        <w:t>)</w:t>
      </w:r>
      <w:r>
        <w:rPr>
          <w:rFonts w:ascii="David" w:hAnsi="David"/>
          <w:rtl/>
        </w:rPr>
        <w:t xml:space="preserve">, נפסקו </w:t>
      </w:r>
      <w:r>
        <w:rPr>
          <w:rFonts w:ascii="David" w:hAnsi="David" w:hint="cs"/>
          <w:rtl/>
        </w:rPr>
        <w:t>530,000 ₪.</w:t>
      </w:r>
      <w:r w:rsidRPr="0092079B">
        <w:rPr>
          <w:rFonts w:ascii="David" w:hAnsi="David"/>
          <w:rtl/>
        </w:rPr>
        <w:t xml:space="preserve"> </w:t>
      </w:r>
      <w:r>
        <w:rPr>
          <w:rFonts w:ascii="David" w:hAnsi="David" w:hint="cs"/>
          <w:rtl/>
        </w:rPr>
        <w:t xml:space="preserve">אולם בעיון מעמיק מתברר כי </w:t>
      </w:r>
      <w:r>
        <w:rPr>
          <w:rFonts w:ascii="David" w:hAnsi="David"/>
          <w:rtl/>
        </w:rPr>
        <w:t xml:space="preserve">חלק </w:t>
      </w:r>
      <w:r>
        <w:rPr>
          <w:rFonts w:ascii="David" w:hAnsi="David" w:hint="cs"/>
          <w:rtl/>
        </w:rPr>
        <w:t>עיקרי</w:t>
      </w:r>
      <w:r>
        <w:rPr>
          <w:rFonts w:ascii="David" w:hAnsi="David"/>
          <w:rtl/>
        </w:rPr>
        <w:t xml:space="preserve"> בפיצוי</w:t>
      </w:r>
      <w:r w:rsidRPr="0092079B">
        <w:rPr>
          <w:rFonts w:ascii="David" w:hAnsi="David"/>
          <w:rtl/>
        </w:rPr>
        <w:t xml:space="preserve"> הוא החזר מזונות והחלק בגין </w:t>
      </w:r>
      <w:r>
        <w:rPr>
          <w:rFonts w:ascii="David" w:hAnsi="David"/>
          <w:rtl/>
        </w:rPr>
        <w:t>ניכור הורי, ש</w:t>
      </w:r>
      <w:r>
        <w:rPr>
          <w:rFonts w:ascii="David" w:hAnsi="David" w:hint="cs"/>
          <w:rtl/>
        </w:rPr>
        <w:t>נקבע כ</w:t>
      </w:r>
      <w:r w:rsidRPr="0092079B">
        <w:rPr>
          <w:rFonts w:ascii="David" w:hAnsi="David"/>
          <w:rtl/>
        </w:rPr>
        <w:t>מדרגה</w:t>
      </w:r>
      <w:r>
        <w:rPr>
          <w:rFonts w:ascii="David" w:hAnsi="David"/>
          <w:rtl/>
        </w:rPr>
        <w:t xml:space="preserve"> הכי גבוהה של ניכור הורי שמתבטא</w:t>
      </w:r>
      <w:r w:rsidRPr="0092079B">
        <w:rPr>
          <w:rFonts w:ascii="David" w:hAnsi="David"/>
          <w:rtl/>
        </w:rPr>
        <w:t xml:space="preserve"> בזדון, </w:t>
      </w:r>
      <w:r>
        <w:rPr>
          <w:rFonts w:ascii="David" w:hAnsi="David" w:hint="cs"/>
          <w:rtl/>
        </w:rPr>
        <w:t xml:space="preserve">הוא חלק נמוך יחסית. </w:t>
      </w:r>
      <w:r w:rsidRPr="0092079B">
        <w:rPr>
          <w:rFonts w:ascii="David" w:hAnsi="David"/>
          <w:rtl/>
        </w:rPr>
        <w:t xml:space="preserve">גם פסקי הדין האחרים </w:t>
      </w:r>
      <w:r>
        <w:rPr>
          <w:rFonts w:ascii="David" w:hAnsi="David" w:hint="cs"/>
          <w:rtl/>
        </w:rPr>
        <w:t xml:space="preserve">שצוינו בפסק הדין קמא, </w:t>
      </w:r>
      <w:r>
        <w:rPr>
          <w:rFonts w:ascii="David" w:hAnsi="David"/>
          <w:rtl/>
        </w:rPr>
        <w:t>שונים בעובדות ובנסיבות</w:t>
      </w:r>
      <w:r>
        <w:rPr>
          <w:rFonts w:ascii="David" w:hAnsi="David" w:hint="cs"/>
          <w:rtl/>
        </w:rPr>
        <w:t xml:space="preserve">. במסגרתם נפסקו </w:t>
      </w:r>
      <w:r w:rsidRPr="0092079B">
        <w:rPr>
          <w:rFonts w:ascii="David" w:hAnsi="David"/>
          <w:rtl/>
        </w:rPr>
        <w:t>פיצויים בגין ע</w:t>
      </w:r>
      <w:r>
        <w:rPr>
          <w:rFonts w:ascii="David" w:hAnsi="David"/>
          <w:rtl/>
        </w:rPr>
        <w:t>וולות נוספות שה</w:t>
      </w:r>
      <w:r>
        <w:rPr>
          <w:rFonts w:ascii="David" w:hAnsi="David" w:hint="cs"/>
          <w:rtl/>
        </w:rPr>
        <w:t>על</w:t>
      </w:r>
      <w:r>
        <w:rPr>
          <w:rFonts w:ascii="David" w:hAnsi="David"/>
          <w:rtl/>
        </w:rPr>
        <w:t>ו</w:t>
      </w:r>
      <w:r>
        <w:rPr>
          <w:rFonts w:ascii="David" w:hAnsi="David" w:hint="cs"/>
          <w:rtl/>
        </w:rPr>
        <w:t xml:space="preserve"> את סכום הפיצוי</w:t>
      </w:r>
      <w:r>
        <w:rPr>
          <w:rFonts w:ascii="David" w:hAnsi="David"/>
          <w:rtl/>
        </w:rPr>
        <w:t xml:space="preserve"> ל- 150 א</w:t>
      </w:r>
      <w:r>
        <w:rPr>
          <w:rFonts w:ascii="David" w:hAnsi="David" w:hint="cs"/>
          <w:rtl/>
        </w:rPr>
        <w:t xml:space="preserve">לף ₪, </w:t>
      </w:r>
      <w:r>
        <w:rPr>
          <w:rFonts w:ascii="David" w:hAnsi="David"/>
          <w:rtl/>
        </w:rPr>
        <w:t>ו</w:t>
      </w:r>
      <w:r>
        <w:rPr>
          <w:rFonts w:ascii="David" w:hAnsi="David" w:hint="cs"/>
          <w:rtl/>
        </w:rPr>
        <w:t>במקרה דנן</w:t>
      </w:r>
      <w:r w:rsidRPr="0092079B">
        <w:rPr>
          <w:rFonts w:ascii="David" w:hAnsi="David"/>
          <w:rtl/>
        </w:rPr>
        <w:t xml:space="preserve"> </w:t>
      </w:r>
      <w:r>
        <w:rPr>
          <w:rFonts w:ascii="David" w:hAnsi="David" w:hint="cs"/>
          <w:rtl/>
        </w:rPr>
        <w:t>נפסקו</w:t>
      </w:r>
      <w:r>
        <w:rPr>
          <w:rFonts w:ascii="David" w:hAnsi="David"/>
          <w:rtl/>
        </w:rPr>
        <w:t xml:space="preserve"> 220 א</w:t>
      </w:r>
      <w:r>
        <w:rPr>
          <w:rFonts w:ascii="David" w:hAnsi="David" w:hint="cs"/>
          <w:rtl/>
        </w:rPr>
        <w:t>לף ₪, סך גבוה מאד.</w:t>
      </w:r>
    </w:p>
    <w:p w:rsidR="009A3EDE" w:rsidRPr="0092079B" w:rsidRDefault="009A3EDE" w:rsidP="009A3EDE">
      <w:pPr>
        <w:spacing w:after="120" w:line="360" w:lineRule="auto"/>
        <w:ind w:left="708" w:hanging="709"/>
        <w:jc w:val="both"/>
        <w:rPr>
          <w:rFonts w:ascii="David" w:hAnsi="David"/>
          <w:rtl/>
        </w:rPr>
      </w:pPr>
      <w:r>
        <w:rPr>
          <w:rFonts w:ascii="David" w:hAnsi="David"/>
          <w:rtl/>
        </w:rPr>
        <w:tab/>
      </w:r>
      <w:r w:rsidRPr="0092079B">
        <w:rPr>
          <w:rFonts w:ascii="David" w:hAnsi="David"/>
          <w:rtl/>
        </w:rPr>
        <w:t>ב</w:t>
      </w:r>
      <w:r>
        <w:rPr>
          <w:rFonts w:ascii="David" w:hAnsi="David" w:hint="cs"/>
          <w:rtl/>
        </w:rPr>
        <w:t>כל הקשור</w:t>
      </w:r>
      <w:r w:rsidRPr="0092079B">
        <w:rPr>
          <w:rFonts w:ascii="David" w:hAnsi="David"/>
          <w:rtl/>
        </w:rPr>
        <w:t xml:space="preserve"> </w:t>
      </w:r>
      <w:r>
        <w:rPr>
          <w:rFonts w:ascii="David" w:hAnsi="David" w:hint="cs"/>
          <w:rtl/>
        </w:rPr>
        <w:t>ל</w:t>
      </w:r>
      <w:r w:rsidRPr="0092079B">
        <w:rPr>
          <w:rFonts w:ascii="David" w:hAnsi="David"/>
          <w:rtl/>
        </w:rPr>
        <w:t xml:space="preserve">הוצאות, </w:t>
      </w:r>
      <w:r>
        <w:rPr>
          <w:rFonts w:ascii="David" w:hAnsi="David" w:hint="cs"/>
          <w:rtl/>
        </w:rPr>
        <w:t xml:space="preserve">נטען כי </w:t>
      </w:r>
      <w:r>
        <w:rPr>
          <w:rFonts w:ascii="David" w:hAnsi="David"/>
          <w:rtl/>
        </w:rPr>
        <w:t>אין הלימה למטרות ההוצאות</w:t>
      </w:r>
      <w:r>
        <w:rPr>
          <w:rFonts w:ascii="David" w:hAnsi="David" w:hint="cs"/>
          <w:rtl/>
        </w:rPr>
        <w:t>. לדברי ב"כ המערער,</w:t>
      </w:r>
      <w:r w:rsidRPr="0092079B">
        <w:rPr>
          <w:rFonts w:ascii="David" w:hAnsi="David"/>
          <w:rtl/>
        </w:rPr>
        <w:t xml:space="preserve"> היה ניהול תקין</w:t>
      </w:r>
      <w:r>
        <w:rPr>
          <w:rFonts w:ascii="David" w:hAnsi="David" w:hint="cs"/>
          <w:rtl/>
        </w:rPr>
        <w:t xml:space="preserve"> של ההליך קמא</w:t>
      </w:r>
      <w:r w:rsidRPr="0092079B">
        <w:rPr>
          <w:rFonts w:ascii="David" w:hAnsi="David"/>
          <w:rtl/>
        </w:rPr>
        <w:t>, היו נ</w:t>
      </w:r>
      <w:r>
        <w:rPr>
          <w:rFonts w:ascii="David" w:hAnsi="David" w:hint="cs"/>
          <w:rtl/>
        </w:rPr>
        <w:t>י</w:t>
      </w:r>
      <w:r>
        <w:rPr>
          <w:rFonts w:ascii="David" w:hAnsi="David"/>
          <w:rtl/>
        </w:rPr>
        <w:t>סיונות מו"מ</w:t>
      </w:r>
      <w:r>
        <w:rPr>
          <w:rFonts w:ascii="David" w:hAnsi="David" w:hint="cs"/>
          <w:rtl/>
        </w:rPr>
        <w:t xml:space="preserve"> והתקיימה</w:t>
      </w:r>
      <w:r w:rsidRPr="0092079B">
        <w:rPr>
          <w:rFonts w:ascii="David" w:hAnsi="David"/>
          <w:rtl/>
        </w:rPr>
        <w:t xml:space="preserve"> </w:t>
      </w:r>
      <w:r>
        <w:rPr>
          <w:rFonts w:ascii="David" w:hAnsi="David" w:hint="cs"/>
          <w:rtl/>
        </w:rPr>
        <w:t xml:space="preserve">למעשה </w:t>
      </w:r>
      <w:r>
        <w:rPr>
          <w:rFonts w:ascii="David" w:hAnsi="David"/>
          <w:rtl/>
        </w:rPr>
        <w:t>ישיבת הוכחות יחידה</w:t>
      </w:r>
      <w:r>
        <w:rPr>
          <w:rFonts w:ascii="David" w:hAnsi="David" w:hint="cs"/>
          <w:rtl/>
        </w:rPr>
        <w:t xml:space="preserve">. הוגשו </w:t>
      </w:r>
      <w:r w:rsidRPr="0092079B">
        <w:rPr>
          <w:rFonts w:ascii="David" w:hAnsi="David"/>
          <w:rtl/>
        </w:rPr>
        <w:t xml:space="preserve">סיכומים </w:t>
      </w:r>
      <w:r>
        <w:rPr>
          <w:rFonts w:ascii="David" w:hAnsi="David" w:hint="cs"/>
          <w:rtl/>
        </w:rPr>
        <w:t>מצומצמים</w:t>
      </w:r>
      <w:r w:rsidRPr="0092079B">
        <w:rPr>
          <w:rFonts w:ascii="David" w:hAnsi="David"/>
          <w:rtl/>
        </w:rPr>
        <w:t xml:space="preserve"> ולכן </w:t>
      </w:r>
      <w:r>
        <w:rPr>
          <w:rFonts w:ascii="David" w:hAnsi="David" w:hint="cs"/>
          <w:rtl/>
        </w:rPr>
        <w:t xml:space="preserve">לדידה, </w:t>
      </w:r>
      <w:r w:rsidRPr="0092079B">
        <w:rPr>
          <w:rFonts w:ascii="David" w:hAnsi="David"/>
          <w:rtl/>
        </w:rPr>
        <w:t xml:space="preserve">על </w:t>
      </w:r>
      <w:r>
        <w:rPr>
          <w:rFonts w:ascii="David" w:hAnsi="David" w:hint="cs"/>
          <w:rtl/>
        </w:rPr>
        <w:t xml:space="preserve">סכום </w:t>
      </w:r>
      <w:r w:rsidRPr="0092079B">
        <w:rPr>
          <w:rFonts w:ascii="David" w:hAnsi="David"/>
          <w:rtl/>
        </w:rPr>
        <w:t xml:space="preserve">ההוצאות </w:t>
      </w:r>
      <w:r>
        <w:rPr>
          <w:rFonts w:ascii="David" w:hAnsi="David" w:hint="cs"/>
          <w:rtl/>
        </w:rPr>
        <w:t xml:space="preserve">שנפסקו </w:t>
      </w:r>
      <w:r w:rsidRPr="0092079B">
        <w:rPr>
          <w:rFonts w:ascii="David" w:hAnsi="David"/>
          <w:rtl/>
        </w:rPr>
        <w:t xml:space="preserve">לקטון. </w:t>
      </w:r>
    </w:p>
    <w:p w:rsidR="009A3EDE" w:rsidRDefault="009A3EDE" w:rsidP="009A3EDE">
      <w:pPr>
        <w:spacing w:after="120" w:line="360" w:lineRule="auto"/>
        <w:ind w:left="708" w:hanging="709"/>
        <w:jc w:val="both"/>
        <w:rPr>
          <w:rFonts w:ascii="David" w:hAnsi="David"/>
          <w:rtl/>
        </w:rPr>
      </w:pPr>
      <w:r>
        <w:rPr>
          <w:rFonts w:ascii="David" w:hAnsi="David" w:hint="cs"/>
          <w:rtl/>
        </w:rPr>
        <w:t>19.</w:t>
      </w:r>
      <w:r>
        <w:rPr>
          <w:rFonts w:ascii="David" w:hAnsi="David" w:hint="cs"/>
          <w:rtl/>
        </w:rPr>
        <w:tab/>
      </w:r>
      <w:r>
        <w:rPr>
          <w:rFonts w:ascii="David" w:hAnsi="David"/>
          <w:b/>
          <w:bCs/>
          <w:u w:val="single"/>
          <w:rtl/>
        </w:rPr>
        <w:t>ב"כ המשיבה</w:t>
      </w:r>
      <w:r>
        <w:rPr>
          <w:rFonts w:ascii="David" w:hAnsi="David" w:hint="cs"/>
          <w:rtl/>
        </w:rPr>
        <w:t xml:space="preserve"> אף הוא חזר על טענותיו בכתב התשובה, והוסיף כי לדידו, אין כלום בטענות הערעור. לטענתו, המשיבה הסכימה ואף השתתפה בתיאום הורי, ללא הצלחה. המשיבה שילמה מחיר כבד והוא אבדן הקשר עם בנה, ואף סכום בעולם לא יפצה אותה על כך. </w:t>
      </w:r>
    </w:p>
    <w:p w:rsidR="009A3EDE" w:rsidRPr="0092079B" w:rsidRDefault="009A3EDE" w:rsidP="009A3EDE">
      <w:pPr>
        <w:spacing w:after="120" w:line="360" w:lineRule="auto"/>
        <w:ind w:left="708" w:hanging="709"/>
        <w:jc w:val="both"/>
        <w:rPr>
          <w:rFonts w:ascii="David" w:hAnsi="David"/>
          <w:rtl/>
        </w:rPr>
      </w:pPr>
      <w:r>
        <w:rPr>
          <w:rFonts w:ascii="David" w:hAnsi="David"/>
          <w:rtl/>
        </w:rPr>
        <w:lastRenderedPageBreak/>
        <w:tab/>
      </w:r>
      <w:r>
        <w:rPr>
          <w:rFonts w:ascii="David" w:hAnsi="David" w:hint="cs"/>
          <w:rtl/>
        </w:rPr>
        <w:t xml:space="preserve">לטענתו, </w:t>
      </w:r>
      <w:r w:rsidRPr="0092079B">
        <w:rPr>
          <w:rFonts w:ascii="David" w:hAnsi="David"/>
          <w:rtl/>
        </w:rPr>
        <w:t>ה</w:t>
      </w:r>
      <w:r>
        <w:rPr>
          <w:rFonts w:ascii="David" w:hAnsi="David"/>
          <w:rtl/>
        </w:rPr>
        <w:t>משיבה שיתפה פעולה עם כל המטפלים</w:t>
      </w:r>
      <w:r>
        <w:rPr>
          <w:rFonts w:ascii="David" w:hAnsi="David" w:hint="cs"/>
          <w:rtl/>
        </w:rPr>
        <w:t xml:space="preserve">, אולם </w:t>
      </w:r>
      <w:r>
        <w:rPr>
          <w:rFonts w:ascii="David" w:hAnsi="David"/>
          <w:rtl/>
        </w:rPr>
        <w:t>כש</w:t>
      </w:r>
      <w:r w:rsidRPr="0092079B">
        <w:rPr>
          <w:rFonts w:ascii="David" w:hAnsi="David"/>
          <w:rtl/>
        </w:rPr>
        <w:t xml:space="preserve">הסתה </w:t>
      </w:r>
      <w:r>
        <w:rPr>
          <w:rFonts w:ascii="David" w:hAnsi="David" w:hint="cs"/>
          <w:rtl/>
        </w:rPr>
        <w:t xml:space="preserve">קיימת </w:t>
      </w:r>
      <w:r w:rsidRPr="0092079B">
        <w:rPr>
          <w:rFonts w:ascii="David" w:hAnsi="David"/>
          <w:rtl/>
        </w:rPr>
        <w:t xml:space="preserve">שום טיפול לא יכול לעזור. </w:t>
      </w:r>
      <w:r>
        <w:rPr>
          <w:rFonts w:ascii="David" w:hAnsi="David" w:hint="cs"/>
          <w:rtl/>
        </w:rPr>
        <w:t xml:space="preserve">נטען כי </w:t>
      </w:r>
      <w:r w:rsidRPr="0092079B">
        <w:rPr>
          <w:rFonts w:ascii="David" w:hAnsi="David"/>
          <w:rtl/>
        </w:rPr>
        <w:t xml:space="preserve">הפסיכולוג </w:t>
      </w:r>
      <w:r>
        <w:rPr>
          <w:rFonts w:ascii="David" w:hAnsi="David" w:hint="cs"/>
          <w:rtl/>
        </w:rPr>
        <w:t xml:space="preserve">שטיפל בקטין </w:t>
      </w:r>
      <w:r w:rsidRPr="0092079B">
        <w:rPr>
          <w:rFonts w:ascii="David" w:hAnsi="David"/>
          <w:rtl/>
        </w:rPr>
        <w:t>נבחר על ידי האב</w:t>
      </w:r>
      <w:r>
        <w:rPr>
          <w:rFonts w:ascii="David" w:hAnsi="David" w:hint="cs"/>
          <w:rtl/>
        </w:rPr>
        <w:t xml:space="preserve"> בלבד, ו</w:t>
      </w:r>
      <w:r w:rsidRPr="0092079B">
        <w:rPr>
          <w:rFonts w:ascii="David" w:hAnsi="David"/>
          <w:rtl/>
        </w:rPr>
        <w:t xml:space="preserve">מה שהאב עשה זה הכל למראית </w:t>
      </w:r>
      <w:r>
        <w:rPr>
          <w:rFonts w:ascii="David" w:hAnsi="David"/>
          <w:rtl/>
        </w:rPr>
        <w:t>עין</w:t>
      </w:r>
      <w:r>
        <w:rPr>
          <w:rFonts w:ascii="David" w:hAnsi="David" w:hint="cs"/>
          <w:rtl/>
        </w:rPr>
        <w:t>. אף לאחר</w:t>
      </w:r>
      <w:r w:rsidRPr="0092079B">
        <w:rPr>
          <w:rFonts w:ascii="David" w:hAnsi="David"/>
          <w:rtl/>
        </w:rPr>
        <w:t xml:space="preserve"> </w:t>
      </w:r>
      <w:r>
        <w:rPr>
          <w:rFonts w:ascii="David" w:hAnsi="David" w:hint="cs"/>
          <w:rtl/>
        </w:rPr>
        <w:t>ש</w:t>
      </w:r>
      <w:r w:rsidRPr="0092079B">
        <w:rPr>
          <w:rFonts w:ascii="David" w:hAnsi="David"/>
          <w:rtl/>
        </w:rPr>
        <w:t xml:space="preserve">נמצא פסיכולוג, האב לא היה מוכן לשתף פעולה לחידוש הקשר בין הילד לאמו. </w:t>
      </w:r>
    </w:p>
    <w:p w:rsidR="009A3EDE" w:rsidRDefault="009A3EDE" w:rsidP="009A3EDE">
      <w:pPr>
        <w:spacing w:after="120" w:line="360" w:lineRule="auto"/>
        <w:ind w:left="708" w:firstLine="12"/>
        <w:jc w:val="both"/>
        <w:rPr>
          <w:rFonts w:ascii="David" w:hAnsi="David"/>
          <w:rtl/>
        </w:rPr>
      </w:pPr>
      <w:r>
        <w:rPr>
          <w:rFonts w:ascii="David" w:hAnsi="David" w:hint="cs"/>
          <w:rtl/>
        </w:rPr>
        <w:t xml:space="preserve">עוד לטענתו, המשיבה לא הגישה ערעור מטעמה על קביעת </w:t>
      </w:r>
      <w:r w:rsidRPr="0092079B">
        <w:rPr>
          <w:rFonts w:ascii="David" w:hAnsi="David"/>
          <w:rtl/>
        </w:rPr>
        <w:t xml:space="preserve">25% </w:t>
      </w:r>
      <w:r>
        <w:rPr>
          <w:rFonts w:ascii="David" w:hAnsi="David" w:hint="cs"/>
          <w:rtl/>
        </w:rPr>
        <w:t>אשם תורם, הגם שאינה מסכימה עם קביעה זאת, כי רצתה לסיים עם ההליכים המשפטיים.</w:t>
      </w:r>
    </w:p>
    <w:p w:rsidR="009A3EDE" w:rsidRDefault="009A3EDE" w:rsidP="009A3EDE">
      <w:pPr>
        <w:spacing w:after="120" w:line="360" w:lineRule="auto"/>
        <w:jc w:val="both"/>
        <w:rPr>
          <w:rFonts w:ascii="David" w:hAnsi="David"/>
          <w:rtl/>
        </w:rPr>
      </w:pPr>
    </w:p>
    <w:p w:rsidR="009A3EDE" w:rsidRPr="00F60997" w:rsidRDefault="009A3EDE" w:rsidP="009A3EDE">
      <w:pPr>
        <w:spacing w:after="120" w:line="360" w:lineRule="auto"/>
        <w:jc w:val="both"/>
        <w:rPr>
          <w:rFonts w:ascii="David" w:hAnsi="David"/>
          <w:b/>
          <w:bCs/>
          <w:u w:val="single"/>
          <w:rtl/>
        </w:rPr>
      </w:pPr>
      <w:r w:rsidRPr="00F60997">
        <w:rPr>
          <w:rFonts w:ascii="David" w:hAnsi="David" w:hint="cs"/>
          <w:b/>
          <w:bCs/>
          <w:u w:val="single"/>
          <w:rtl/>
        </w:rPr>
        <w:t>דיון והכרעה</w:t>
      </w:r>
    </w:p>
    <w:p w:rsidR="009A3EDE" w:rsidRDefault="009A3EDE" w:rsidP="009A3EDE">
      <w:pPr>
        <w:spacing w:after="120" w:line="360" w:lineRule="auto"/>
        <w:jc w:val="both"/>
        <w:rPr>
          <w:rFonts w:ascii="David" w:hAnsi="David"/>
          <w:rtl/>
        </w:rPr>
      </w:pPr>
      <w:r>
        <w:rPr>
          <w:rFonts w:ascii="David" w:hAnsi="David" w:hint="cs"/>
          <w:rtl/>
        </w:rPr>
        <w:t>20.</w:t>
      </w:r>
      <w:r>
        <w:rPr>
          <w:rFonts w:ascii="David" w:hAnsi="David" w:hint="cs"/>
          <w:rtl/>
        </w:rPr>
        <w:tab/>
      </w:r>
      <w:r w:rsidRPr="00BB2C7E">
        <w:rPr>
          <w:rFonts w:ascii="David" w:hAnsi="David" w:hint="cs"/>
          <w:u w:val="single"/>
          <w:rtl/>
        </w:rPr>
        <w:t>כאמור הערעור עוסק בארבע נקודות כדלקמן</w:t>
      </w:r>
      <w:r>
        <w:rPr>
          <w:rFonts w:ascii="David" w:hAnsi="David" w:hint="cs"/>
          <w:rtl/>
        </w:rPr>
        <w:t>:</w:t>
      </w:r>
    </w:p>
    <w:p w:rsidR="009A3EDE" w:rsidRDefault="009A3EDE" w:rsidP="009A3EDE">
      <w:pPr>
        <w:spacing w:after="120" w:line="360" w:lineRule="auto"/>
        <w:jc w:val="both"/>
        <w:rPr>
          <w:rFonts w:ascii="David" w:hAnsi="David"/>
          <w:rtl/>
        </w:rPr>
      </w:pPr>
      <w:r>
        <w:rPr>
          <w:rFonts w:ascii="David" w:hAnsi="David"/>
          <w:rtl/>
        </w:rPr>
        <w:tab/>
      </w:r>
      <w:r>
        <w:rPr>
          <w:rFonts w:ascii="David" w:hAnsi="David" w:hint="cs"/>
          <w:rtl/>
        </w:rPr>
        <w:t>א.</w:t>
      </w:r>
      <w:r>
        <w:rPr>
          <w:rFonts w:ascii="David" w:hAnsi="David" w:hint="cs"/>
          <w:rtl/>
        </w:rPr>
        <w:tab/>
        <w:t xml:space="preserve">קביעת אחריותו בנזיקין של האב כלפי האם בגין הניכור ההורי שנוצר בין </w:t>
      </w:r>
      <w:r w:rsidR="00820F03">
        <w:rPr>
          <w:rFonts w:ascii="David" w:hAnsi="David" w:hint="cs"/>
          <w:rtl/>
        </w:rPr>
        <w:t>מ</w:t>
      </w:r>
      <w:r w:rsidR="00820F03">
        <w:rPr>
          <w:rFonts w:ascii="David" w:hAnsi="David"/>
          <w:rtl/>
        </w:rPr>
        <w:t>'</w:t>
      </w:r>
      <w:r w:rsidR="00820F03">
        <w:rPr>
          <w:rFonts w:ascii="David" w:hAnsi="David" w:hint="cs"/>
          <w:rtl/>
        </w:rPr>
        <w:t xml:space="preserve"> </w:t>
      </w:r>
      <w:r>
        <w:rPr>
          <w:rFonts w:ascii="David" w:hAnsi="David" w:hint="cs"/>
          <w:rtl/>
        </w:rPr>
        <w:t>לבין האם;</w:t>
      </w:r>
    </w:p>
    <w:p w:rsidR="009A3EDE" w:rsidRDefault="009A3EDE" w:rsidP="009A3EDE">
      <w:pPr>
        <w:spacing w:after="120" w:line="360" w:lineRule="auto"/>
        <w:jc w:val="both"/>
        <w:rPr>
          <w:rFonts w:ascii="David" w:hAnsi="David"/>
          <w:rtl/>
        </w:rPr>
      </w:pPr>
      <w:r>
        <w:rPr>
          <w:rFonts w:ascii="David" w:hAnsi="David"/>
          <w:rtl/>
        </w:rPr>
        <w:tab/>
      </w:r>
      <w:r>
        <w:rPr>
          <w:rFonts w:ascii="David" w:hAnsi="David" w:hint="cs"/>
          <w:rtl/>
        </w:rPr>
        <w:t>ב.</w:t>
      </w:r>
      <w:r>
        <w:rPr>
          <w:rFonts w:ascii="David" w:hAnsi="David" w:hint="cs"/>
          <w:rtl/>
        </w:rPr>
        <w:tab/>
        <w:t>שיעור האשם התורם שיש לייחס לאם;</w:t>
      </w:r>
    </w:p>
    <w:p w:rsidR="009A3EDE" w:rsidRDefault="009A3EDE" w:rsidP="009A3EDE">
      <w:pPr>
        <w:spacing w:after="120" w:line="360" w:lineRule="auto"/>
        <w:jc w:val="both"/>
        <w:rPr>
          <w:rFonts w:ascii="David" w:hAnsi="David"/>
          <w:rtl/>
        </w:rPr>
      </w:pPr>
      <w:r>
        <w:rPr>
          <w:rFonts w:ascii="David" w:hAnsi="David"/>
          <w:rtl/>
        </w:rPr>
        <w:tab/>
      </w:r>
      <w:r>
        <w:rPr>
          <w:rFonts w:ascii="David" w:hAnsi="David" w:hint="cs"/>
          <w:rtl/>
        </w:rPr>
        <w:t>ג.</w:t>
      </w:r>
      <w:r>
        <w:rPr>
          <w:rFonts w:ascii="David" w:hAnsi="David" w:hint="cs"/>
          <w:rtl/>
        </w:rPr>
        <w:tab/>
        <w:t>שיעור הפיצוי;</w:t>
      </w:r>
    </w:p>
    <w:p w:rsidR="009A3EDE" w:rsidRDefault="009A3EDE" w:rsidP="009A3EDE">
      <w:pPr>
        <w:spacing w:after="120" w:line="360" w:lineRule="auto"/>
        <w:jc w:val="both"/>
        <w:rPr>
          <w:rFonts w:ascii="David" w:hAnsi="David"/>
          <w:rtl/>
        </w:rPr>
      </w:pPr>
      <w:r>
        <w:rPr>
          <w:rFonts w:ascii="David" w:hAnsi="David"/>
          <w:rtl/>
        </w:rPr>
        <w:tab/>
      </w:r>
      <w:r>
        <w:rPr>
          <w:rFonts w:ascii="David" w:hAnsi="David" w:hint="cs"/>
          <w:rtl/>
        </w:rPr>
        <w:t>ד.</w:t>
      </w:r>
      <w:r>
        <w:rPr>
          <w:rFonts w:ascii="David" w:hAnsi="David" w:hint="cs"/>
          <w:rtl/>
        </w:rPr>
        <w:tab/>
        <w:t xml:space="preserve">סכום הוצאות ושכ"ט עו"ד שנפסק לטובת האם. </w:t>
      </w:r>
    </w:p>
    <w:p w:rsidR="009A3EDE" w:rsidRDefault="009A3EDE" w:rsidP="009A3EDE">
      <w:pPr>
        <w:spacing w:after="120" w:line="360" w:lineRule="auto"/>
        <w:ind w:left="720" w:hanging="720"/>
        <w:jc w:val="both"/>
        <w:rPr>
          <w:rFonts w:ascii="David" w:hAnsi="David"/>
          <w:rtl/>
        </w:rPr>
      </w:pPr>
      <w:r>
        <w:rPr>
          <w:rFonts w:ascii="David" w:hAnsi="David" w:hint="cs"/>
          <w:rtl/>
        </w:rPr>
        <w:t>21.</w:t>
      </w:r>
      <w:r>
        <w:rPr>
          <w:rFonts w:ascii="David" w:hAnsi="David" w:hint="cs"/>
          <w:rtl/>
        </w:rPr>
        <w:tab/>
        <w:t>אקדים ואומר כי אמליץ לחבריי להרכב לדחות את רכיב הערעור הראשון, ולקבל (חלקית) את הערעור בשלוש הנקודות הערעור הנותרות.</w:t>
      </w:r>
    </w:p>
    <w:p w:rsidR="009A3EDE" w:rsidRDefault="009A3EDE" w:rsidP="009A3EDE">
      <w:pPr>
        <w:spacing w:after="120" w:line="360" w:lineRule="auto"/>
        <w:ind w:left="720" w:hanging="720"/>
        <w:jc w:val="both"/>
        <w:rPr>
          <w:rFonts w:ascii="David" w:hAnsi="David"/>
          <w:rtl/>
        </w:rPr>
      </w:pPr>
    </w:p>
    <w:p w:rsidR="009A3EDE" w:rsidRDefault="009A3EDE" w:rsidP="009A3EDE">
      <w:pPr>
        <w:spacing w:after="120" w:line="360" w:lineRule="auto"/>
        <w:ind w:left="720" w:hanging="720"/>
        <w:jc w:val="both"/>
        <w:rPr>
          <w:rFonts w:ascii="David" w:hAnsi="David"/>
          <w:b/>
          <w:bCs/>
          <w:u w:val="single"/>
          <w:rtl/>
        </w:rPr>
      </w:pPr>
      <w:r w:rsidRPr="00BB2C7E">
        <w:rPr>
          <w:rFonts w:ascii="David" w:hAnsi="David" w:hint="cs"/>
          <w:b/>
          <w:bCs/>
          <w:u w:val="single"/>
          <w:rtl/>
        </w:rPr>
        <w:t>קביעת אחריותו הנזיקית של האב</w:t>
      </w:r>
      <w:r>
        <w:rPr>
          <w:rFonts w:ascii="David" w:hAnsi="David" w:hint="cs"/>
          <w:b/>
          <w:bCs/>
          <w:u w:val="single"/>
          <w:rtl/>
        </w:rPr>
        <w:t xml:space="preserve"> בסוגיית הניכור ההורי</w:t>
      </w:r>
    </w:p>
    <w:p w:rsidR="009A3EDE" w:rsidRDefault="009A3EDE" w:rsidP="009A3EDE">
      <w:pPr>
        <w:spacing w:after="120" w:line="360" w:lineRule="auto"/>
        <w:ind w:left="720" w:hanging="720"/>
        <w:jc w:val="both"/>
        <w:rPr>
          <w:rFonts w:ascii="David" w:hAnsi="David"/>
          <w:rtl/>
        </w:rPr>
      </w:pPr>
      <w:r>
        <w:rPr>
          <w:rFonts w:ascii="David" w:hAnsi="David" w:hint="cs"/>
          <w:rtl/>
        </w:rPr>
        <w:t>22.</w:t>
      </w:r>
      <w:r>
        <w:rPr>
          <w:rFonts w:ascii="David" w:hAnsi="David" w:hint="cs"/>
          <w:rtl/>
        </w:rPr>
        <w:tab/>
        <w:t xml:space="preserve">קביעת אחריותו הנזיקית של האב (ביצוע עוולות הרשלנות והפרת חובה חקוקה) כלפי האם בסוגיית הניכור ההורי הקיים בין מיכל לאם נדונה בהרחבה בפסק הדין, כמפורט בסעיפים 11-12 לעיל. </w:t>
      </w:r>
    </w:p>
    <w:p w:rsidR="009A3EDE" w:rsidRDefault="009A3EDE" w:rsidP="009A3EDE">
      <w:pPr>
        <w:spacing w:after="120" w:line="360" w:lineRule="auto"/>
        <w:ind w:left="720" w:hanging="720"/>
        <w:jc w:val="both"/>
        <w:rPr>
          <w:rFonts w:ascii="David" w:hAnsi="David"/>
          <w:rtl/>
        </w:rPr>
      </w:pPr>
      <w:r>
        <w:rPr>
          <w:rFonts w:ascii="David" w:hAnsi="David" w:hint="cs"/>
          <w:rtl/>
        </w:rPr>
        <w:t>23.</w:t>
      </w:r>
      <w:r>
        <w:rPr>
          <w:rFonts w:ascii="David" w:hAnsi="David" w:hint="cs"/>
          <w:rtl/>
        </w:rPr>
        <w:tab/>
        <w:t>בפסק הדין מבסס השופט קמא קביעותיו בסוגיית אחריותו הנזיקית של האב על ממצאי עובדה ומהימנות, בהן ממעטת ערכאת הערעור להתערב.</w:t>
      </w:r>
    </w:p>
    <w:p w:rsidR="009A3EDE" w:rsidRDefault="009A3EDE" w:rsidP="009A3EDE">
      <w:pPr>
        <w:spacing w:after="120" w:line="360" w:lineRule="auto"/>
        <w:ind w:left="720"/>
        <w:jc w:val="both"/>
        <w:rPr>
          <w:rFonts w:ascii="David" w:hAnsi="David"/>
          <w:rtl/>
        </w:rPr>
      </w:pPr>
      <w:r>
        <w:rPr>
          <w:rFonts w:ascii="David" w:hAnsi="David" w:hint="cs"/>
          <w:rtl/>
        </w:rPr>
        <w:t xml:space="preserve">נאמר לא אחת בפסיקה, כי </w:t>
      </w:r>
      <w:r w:rsidRPr="00F627E7">
        <w:rPr>
          <w:rFonts w:ascii="David" w:hAnsi="David"/>
          <w:rtl/>
        </w:rPr>
        <w:t>הליך הערעור לא נועד לשמש במה לדיון מבראשית בכל הטענות העובדתיות שנדונו והוכרעו על-ידי הערכאה הדיונית. התערבות ערכאת הערעור בקביעות עובדתיות ובממצאי מהימנות תיעשה בהתקיים נסיבות מיוחדות וחריגות בלבד, בהן מתגלה שגיאה בולטת על פני החלטתו של בית משפט קמא. כך למשל, כאשר ממצאי העובדה אינם מעוגנים כלל בחומר הראיות, או מקום שבו הגרסה העובדתית שאותה אימץ בית משפט קמא, אינה מתקבלת על הדעת ואינה מתייש</w:t>
      </w:r>
      <w:r>
        <w:rPr>
          <w:rFonts w:ascii="David" w:hAnsi="David"/>
          <w:rtl/>
        </w:rPr>
        <w:t>בת עם מבחנים של היגיון ושכל ישר</w:t>
      </w:r>
      <w:r>
        <w:rPr>
          <w:rFonts w:ascii="David" w:hAnsi="David" w:hint="cs"/>
          <w:rtl/>
        </w:rPr>
        <w:t>.</w:t>
      </w:r>
    </w:p>
    <w:p w:rsidR="009A3EDE" w:rsidRDefault="009A3EDE" w:rsidP="009A3EDE">
      <w:pPr>
        <w:spacing w:after="120" w:line="360" w:lineRule="auto"/>
        <w:ind w:left="720" w:hanging="720"/>
        <w:jc w:val="both"/>
        <w:rPr>
          <w:rFonts w:ascii="David" w:hAnsi="David"/>
          <w:rtl/>
        </w:rPr>
      </w:pPr>
      <w:r>
        <w:rPr>
          <w:rFonts w:ascii="David" w:hAnsi="David"/>
          <w:rtl/>
        </w:rPr>
        <w:tab/>
      </w:r>
      <w:r w:rsidRPr="007E636A">
        <w:rPr>
          <w:rFonts w:ascii="David" w:hAnsi="David" w:hint="cs"/>
          <w:u w:val="single"/>
          <w:rtl/>
        </w:rPr>
        <w:t>ראו לעני</w:t>
      </w:r>
      <w:r>
        <w:rPr>
          <w:rFonts w:ascii="David" w:hAnsi="David" w:hint="cs"/>
          <w:u w:val="single"/>
          <w:rtl/>
        </w:rPr>
        <w:t>י</w:t>
      </w:r>
      <w:r w:rsidRPr="007E636A">
        <w:rPr>
          <w:rFonts w:ascii="David" w:hAnsi="David" w:hint="cs"/>
          <w:u w:val="single"/>
          <w:rtl/>
        </w:rPr>
        <w:t>ן זה</w:t>
      </w:r>
      <w:r>
        <w:rPr>
          <w:rFonts w:ascii="David" w:hAnsi="David" w:hint="cs"/>
          <w:u w:val="single"/>
          <w:rtl/>
        </w:rPr>
        <w:t xml:space="preserve"> </w:t>
      </w:r>
      <w:r>
        <w:rPr>
          <w:rFonts w:ascii="David" w:hAnsi="David" w:hint="cs"/>
          <w:rtl/>
        </w:rPr>
        <w:t>:</w:t>
      </w:r>
    </w:p>
    <w:p w:rsidR="009A3EDE" w:rsidRDefault="009A3EDE" w:rsidP="009A3EDE">
      <w:pPr>
        <w:spacing w:after="120" w:line="360" w:lineRule="auto"/>
        <w:ind w:left="720" w:hanging="720"/>
        <w:jc w:val="both"/>
        <w:rPr>
          <w:rFonts w:ascii="David" w:hAnsi="David"/>
          <w:rtl/>
        </w:rPr>
      </w:pPr>
      <w:r>
        <w:rPr>
          <w:rFonts w:ascii="David" w:hAnsi="David"/>
          <w:rtl/>
        </w:rPr>
        <w:tab/>
        <w:t>רע"א 3149/24 ‏</w:t>
      </w:r>
      <w:r w:rsidRPr="007E636A">
        <w:rPr>
          <w:rFonts w:ascii="David" w:hAnsi="David"/>
          <w:b/>
          <w:bCs/>
          <w:rtl/>
        </w:rPr>
        <w:t>רבין מגידש נ' יואב מגידש</w:t>
      </w:r>
      <w:r>
        <w:rPr>
          <w:rFonts w:ascii="David" w:hAnsi="David" w:hint="cs"/>
          <w:rtl/>
        </w:rPr>
        <w:t>, פסקה 14</w:t>
      </w:r>
      <w:r w:rsidRPr="007E636A">
        <w:rPr>
          <w:rFonts w:ascii="David" w:hAnsi="David"/>
          <w:b/>
          <w:bCs/>
          <w:rtl/>
        </w:rPr>
        <w:t xml:space="preserve"> </w:t>
      </w:r>
      <w:r>
        <w:rPr>
          <w:rFonts w:ascii="David" w:hAnsi="David"/>
          <w:rtl/>
        </w:rPr>
        <w:t>(25.9.2024)</w:t>
      </w:r>
      <w:r>
        <w:rPr>
          <w:rFonts w:ascii="David" w:hAnsi="David" w:hint="cs"/>
          <w:rtl/>
        </w:rPr>
        <w:t>;</w:t>
      </w:r>
    </w:p>
    <w:p w:rsidR="009A3EDE" w:rsidRDefault="009A3EDE" w:rsidP="009A3EDE">
      <w:pPr>
        <w:spacing w:after="120" w:line="360" w:lineRule="auto"/>
        <w:ind w:left="720" w:hanging="720"/>
        <w:jc w:val="both"/>
        <w:rPr>
          <w:rFonts w:ascii="David" w:hAnsi="David"/>
          <w:rtl/>
        </w:rPr>
      </w:pPr>
      <w:r>
        <w:rPr>
          <w:rFonts w:ascii="David" w:hAnsi="David"/>
          <w:rtl/>
        </w:rPr>
        <w:tab/>
      </w:r>
      <w:r w:rsidRPr="007E636A">
        <w:rPr>
          <w:rFonts w:ascii="David" w:hAnsi="David"/>
          <w:rtl/>
        </w:rPr>
        <w:t>רע"א 1019/24 ‏</w:t>
      </w:r>
      <w:r w:rsidRPr="007E636A">
        <w:rPr>
          <w:rFonts w:ascii="David" w:hAnsi="David"/>
          <w:b/>
          <w:bCs/>
          <w:rtl/>
        </w:rPr>
        <w:t>סאלם אלערב שרחה נ' נביל לוטפי שומאן</w:t>
      </w:r>
      <w:r>
        <w:rPr>
          <w:rFonts w:ascii="David" w:hAnsi="David" w:hint="cs"/>
          <w:rtl/>
        </w:rPr>
        <w:t xml:space="preserve">, פסקה </w:t>
      </w:r>
      <w:r w:rsidRPr="007E636A">
        <w:rPr>
          <w:rFonts w:ascii="David" w:hAnsi="David" w:hint="cs"/>
          <w:rtl/>
        </w:rPr>
        <w:t>11</w:t>
      </w:r>
      <w:r>
        <w:rPr>
          <w:rFonts w:ascii="David" w:hAnsi="David"/>
          <w:rtl/>
        </w:rPr>
        <w:t xml:space="preserve"> (8.7.2024)</w:t>
      </w:r>
      <w:r>
        <w:rPr>
          <w:rFonts w:ascii="David" w:hAnsi="David" w:hint="cs"/>
          <w:rtl/>
        </w:rPr>
        <w:t>.</w:t>
      </w:r>
    </w:p>
    <w:p w:rsidR="009A3EDE" w:rsidRDefault="009A3EDE" w:rsidP="009A3EDE">
      <w:pPr>
        <w:spacing w:after="120" w:line="360" w:lineRule="auto"/>
        <w:ind w:left="720" w:hanging="720"/>
        <w:jc w:val="both"/>
        <w:rPr>
          <w:rFonts w:ascii="David" w:hAnsi="David"/>
          <w:rtl/>
        </w:rPr>
      </w:pPr>
      <w:r>
        <w:rPr>
          <w:rFonts w:ascii="David" w:hAnsi="David"/>
          <w:rtl/>
        </w:rPr>
        <w:tab/>
      </w:r>
      <w:r w:rsidRPr="00F627E7">
        <w:rPr>
          <w:rFonts w:ascii="David" w:hAnsi="David"/>
          <w:rtl/>
        </w:rPr>
        <w:t xml:space="preserve">ע"א 10225/02 </w:t>
      </w:r>
      <w:r w:rsidRPr="00F627E7">
        <w:rPr>
          <w:rFonts w:ascii="David" w:hAnsi="David"/>
          <w:b/>
          <w:bCs/>
          <w:rtl/>
        </w:rPr>
        <w:t>פרץ נ' פרץ בוני הנגב</w:t>
      </w:r>
      <w:r w:rsidRPr="00F627E7">
        <w:rPr>
          <w:rFonts w:ascii="David" w:hAnsi="David"/>
          <w:rtl/>
        </w:rPr>
        <w:t xml:space="preserve"> (15.1.2004); </w:t>
      </w:r>
    </w:p>
    <w:p w:rsidR="009A3EDE" w:rsidRDefault="009A3EDE" w:rsidP="009A3EDE">
      <w:pPr>
        <w:spacing w:after="120" w:line="360" w:lineRule="auto"/>
        <w:ind w:left="720"/>
        <w:jc w:val="both"/>
        <w:rPr>
          <w:rFonts w:ascii="David" w:hAnsi="David"/>
          <w:rtl/>
        </w:rPr>
      </w:pPr>
      <w:r w:rsidRPr="00F627E7">
        <w:rPr>
          <w:rFonts w:ascii="David" w:hAnsi="David"/>
          <w:rtl/>
        </w:rPr>
        <w:lastRenderedPageBreak/>
        <w:t>ע"א 826/21 ‏</w:t>
      </w:r>
      <w:r w:rsidRPr="00F627E7">
        <w:rPr>
          <w:rFonts w:ascii="David" w:hAnsi="David"/>
          <w:b/>
          <w:bCs/>
          <w:rtl/>
        </w:rPr>
        <w:t>הימנותא בע"מ נ' יוסף שדאד</w:t>
      </w:r>
      <w:r w:rsidRPr="00F627E7">
        <w:rPr>
          <w:rFonts w:ascii="David" w:hAnsi="David"/>
          <w:rtl/>
        </w:rPr>
        <w:t xml:space="preserve"> (3.3.21)]</w:t>
      </w:r>
      <w:r>
        <w:rPr>
          <w:rFonts w:ascii="David" w:hAnsi="David" w:hint="cs"/>
          <w:rtl/>
        </w:rPr>
        <w:t>.</w:t>
      </w:r>
    </w:p>
    <w:p w:rsidR="009A3EDE" w:rsidRDefault="009A3EDE" w:rsidP="009A3EDE">
      <w:pPr>
        <w:spacing w:after="120" w:line="360" w:lineRule="auto"/>
        <w:ind w:left="720" w:hanging="720"/>
        <w:jc w:val="both"/>
        <w:rPr>
          <w:rFonts w:ascii="David" w:hAnsi="David"/>
          <w:rtl/>
        </w:rPr>
      </w:pPr>
      <w:r>
        <w:rPr>
          <w:rFonts w:ascii="David" w:hAnsi="David"/>
          <w:rtl/>
        </w:rPr>
        <w:tab/>
      </w:r>
      <w:r>
        <w:rPr>
          <w:rFonts w:ascii="David" w:hAnsi="David" w:hint="cs"/>
          <w:rtl/>
        </w:rPr>
        <w:t>לאחר עיון בניתוח הרחב והמעמיק של בית משפט קמא בסוגיית אחריותו הנזיקית של האב בסוגיית הניכור ההורי, לא מצאתי כי המקרה דנן חריג, המצדיק את התערבותה של ערכאת הערעור בקביעת ממצאי עובדה ומהימנות.</w:t>
      </w:r>
    </w:p>
    <w:p w:rsidR="009A3EDE" w:rsidRDefault="009A3EDE" w:rsidP="009A3EDE">
      <w:pPr>
        <w:spacing w:after="120" w:line="360" w:lineRule="auto"/>
        <w:ind w:left="720" w:hanging="720"/>
        <w:jc w:val="both"/>
        <w:rPr>
          <w:rFonts w:ascii="David" w:hAnsi="David"/>
          <w:rtl/>
        </w:rPr>
      </w:pPr>
      <w:r>
        <w:rPr>
          <w:rFonts w:ascii="David" w:hAnsi="David"/>
          <w:rtl/>
        </w:rPr>
        <w:tab/>
      </w:r>
      <w:r>
        <w:rPr>
          <w:rFonts w:ascii="David" w:hAnsi="David" w:hint="cs"/>
          <w:rtl/>
        </w:rPr>
        <w:t>עמד על כך בצדק ב"כ המשיבה בתשובתו לערעור (ראו סעיף 17(א) לעיל).</w:t>
      </w:r>
    </w:p>
    <w:p w:rsidR="009A3EDE" w:rsidRDefault="009A3EDE" w:rsidP="009A3EDE">
      <w:pPr>
        <w:spacing w:after="120" w:line="360" w:lineRule="auto"/>
        <w:ind w:left="720" w:hanging="720"/>
        <w:jc w:val="both"/>
        <w:rPr>
          <w:rFonts w:ascii="David" w:hAnsi="David"/>
          <w:rtl/>
        </w:rPr>
      </w:pPr>
      <w:r>
        <w:rPr>
          <w:rFonts w:ascii="David" w:hAnsi="David" w:hint="cs"/>
          <w:rtl/>
        </w:rPr>
        <w:t>24.</w:t>
      </w:r>
      <w:r>
        <w:rPr>
          <w:rFonts w:ascii="David" w:hAnsi="David" w:hint="cs"/>
          <w:rtl/>
        </w:rPr>
        <w:tab/>
        <w:t xml:space="preserve">ב"כ האב בטענותיה בפנינו בישיבת הערעור (ראו סעיף 18 לעיל) טענה כי יש מקום במקרה דנן, באופן חריג, להתערב בקביעת ממצאי עובדה ומהימנות של השופט קמא, מהטעם שהתעלם מראיות שהיו קיימות בתיק המצביעות על שורש סרבנות הקשר של הקטין. </w:t>
      </w:r>
    </w:p>
    <w:p w:rsidR="009A3EDE" w:rsidRDefault="009A3EDE" w:rsidP="009A3EDE">
      <w:pPr>
        <w:spacing w:after="120" w:line="360" w:lineRule="auto"/>
        <w:ind w:left="720" w:hanging="720"/>
        <w:jc w:val="both"/>
        <w:rPr>
          <w:rFonts w:ascii="David" w:hAnsi="David"/>
          <w:rtl/>
        </w:rPr>
      </w:pPr>
      <w:r>
        <w:rPr>
          <w:rFonts w:ascii="David" w:hAnsi="David"/>
          <w:rtl/>
        </w:rPr>
        <w:tab/>
      </w:r>
      <w:r>
        <w:rPr>
          <w:rFonts w:ascii="David" w:hAnsi="David" w:hint="cs"/>
          <w:rtl/>
        </w:rPr>
        <w:t xml:space="preserve">בנדון נפנה לסעיף 1(ג) להודעת הערעור, שם טען המערער, כי מהראיות שעמדו בפני בית משפט קמא עולה, כי סרבנות הקשר של </w:t>
      </w:r>
      <w:r w:rsidR="00820F03">
        <w:rPr>
          <w:rFonts w:ascii="David" w:hAnsi="David" w:hint="cs"/>
          <w:rtl/>
        </w:rPr>
        <w:t>מ</w:t>
      </w:r>
      <w:r w:rsidR="00820F03">
        <w:rPr>
          <w:rFonts w:ascii="David" w:hAnsi="David"/>
          <w:rtl/>
        </w:rPr>
        <w:t>'</w:t>
      </w:r>
      <w:r w:rsidR="00820F03">
        <w:rPr>
          <w:rFonts w:ascii="David" w:hAnsi="David" w:hint="cs"/>
          <w:rtl/>
        </w:rPr>
        <w:t xml:space="preserve"> </w:t>
      </w:r>
      <w:r>
        <w:rPr>
          <w:rFonts w:ascii="David" w:hAnsi="David" w:hint="cs"/>
          <w:rtl/>
        </w:rPr>
        <w:t xml:space="preserve">עם אמו החלה בגין מעשי המשיבה עוד משנת </w:t>
      </w:r>
      <w:r w:rsidRPr="00AD414D">
        <w:rPr>
          <w:rFonts w:ascii="David" w:hAnsi="David" w:hint="cs"/>
          <w:u w:val="single"/>
          <w:rtl/>
        </w:rPr>
        <w:t>2012</w:t>
      </w:r>
      <w:r>
        <w:rPr>
          <w:rFonts w:ascii="David" w:hAnsi="David" w:hint="cs"/>
          <w:rtl/>
        </w:rPr>
        <w:t xml:space="preserve">, והלכה והתחזקה במשך השנים. </w:t>
      </w:r>
    </w:p>
    <w:p w:rsidR="009A3EDE" w:rsidRDefault="009A3EDE" w:rsidP="009A3EDE">
      <w:pPr>
        <w:spacing w:after="120" w:line="360" w:lineRule="auto"/>
        <w:ind w:left="720" w:hanging="720"/>
        <w:jc w:val="both"/>
        <w:rPr>
          <w:rFonts w:ascii="David" w:hAnsi="David"/>
          <w:rtl/>
        </w:rPr>
      </w:pPr>
      <w:r>
        <w:rPr>
          <w:rFonts w:ascii="David" w:hAnsi="David"/>
          <w:rtl/>
        </w:rPr>
        <w:tab/>
      </w:r>
      <w:r>
        <w:rPr>
          <w:rFonts w:ascii="David" w:hAnsi="David" w:hint="cs"/>
          <w:rtl/>
        </w:rPr>
        <w:t>לעומת טענה זאת של האב, נפנה לקביעתו של השופט קמא בסעיף 34 לפסק הדין (לאחר פירוט טענות האב בהרחבה והתייחסות לחומר ראייתי רב הנמצא בתיקים הקשורים של הצדדים, שתמציתו פורטה בפסק הדין) כי:</w:t>
      </w:r>
    </w:p>
    <w:p w:rsidR="009A3EDE" w:rsidRPr="00C34A27" w:rsidRDefault="009A3EDE" w:rsidP="009A3EDE">
      <w:pPr>
        <w:spacing w:after="120" w:line="360" w:lineRule="auto"/>
        <w:ind w:left="1440" w:right="1276"/>
        <w:jc w:val="both"/>
        <w:rPr>
          <w:rFonts w:ascii="David" w:hAnsi="David"/>
          <w:b/>
          <w:bCs/>
          <w:rtl/>
        </w:rPr>
      </w:pPr>
      <w:r w:rsidRPr="00AD414D">
        <w:rPr>
          <w:rFonts w:ascii="David" w:hAnsi="David" w:hint="cs"/>
          <w:b/>
          <w:bCs/>
          <w:rtl/>
        </w:rPr>
        <w:t>"</w:t>
      </w:r>
      <w:r w:rsidRPr="00AD414D">
        <w:rPr>
          <w:rFonts w:ascii="David" w:hAnsi="David"/>
          <w:b/>
          <w:bCs/>
          <w:rtl/>
        </w:rPr>
        <w:t xml:space="preserve">בנסיבות המתוארות, עד מועד פסק דין בעניין המשמורת, הינו שנת </w:t>
      </w:r>
      <w:r w:rsidRPr="00AD414D">
        <w:rPr>
          <w:rFonts w:ascii="David" w:hAnsi="David"/>
          <w:b/>
          <w:bCs/>
          <w:u w:val="single"/>
          <w:rtl/>
        </w:rPr>
        <w:t>2013</w:t>
      </w:r>
      <w:r w:rsidRPr="00AD414D">
        <w:rPr>
          <w:rFonts w:ascii="David" w:hAnsi="David"/>
          <w:b/>
          <w:bCs/>
          <w:rtl/>
        </w:rPr>
        <w:t xml:space="preserve">,  נראה כי אין מחלוקת ביחס למסוגלות שני ההורים, אך כבר אז, התקשורת ביניהם היתה לקויה.  </w:t>
      </w:r>
      <w:r w:rsidRPr="00F627E7">
        <w:rPr>
          <w:rFonts w:ascii="David" w:hAnsi="David"/>
          <w:b/>
          <w:bCs/>
          <w:u w:val="single"/>
          <w:rtl/>
        </w:rPr>
        <w:t>עד מועד זה, אין התייחסות לעניין הסתה או ניכור הורי</w:t>
      </w:r>
      <w:r w:rsidRPr="00C34A27">
        <w:rPr>
          <w:rFonts w:ascii="David" w:hAnsi="David" w:hint="cs"/>
          <w:b/>
          <w:bCs/>
          <w:rtl/>
        </w:rPr>
        <w:t>"</w:t>
      </w:r>
      <w:r w:rsidRPr="00C34A27">
        <w:rPr>
          <w:rFonts w:ascii="David" w:hAnsi="David" w:hint="cs"/>
          <w:rtl/>
        </w:rPr>
        <w:t xml:space="preserve"> (ההדגשה שלי - ח"ש).</w:t>
      </w:r>
    </w:p>
    <w:p w:rsidR="009A3EDE" w:rsidRDefault="009A3EDE" w:rsidP="009A3EDE">
      <w:pPr>
        <w:spacing w:after="120" w:line="360" w:lineRule="auto"/>
        <w:ind w:left="720"/>
        <w:jc w:val="both"/>
        <w:rPr>
          <w:rFonts w:ascii="David" w:hAnsi="David"/>
          <w:rtl/>
        </w:rPr>
      </w:pPr>
      <w:r w:rsidRPr="00AD414D">
        <w:rPr>
          <w:rFonts w:ascii="David" w:hAnsi="David" w:hint="cs"/>
          <w:rtl/>
        </w:rPr>
        <w:t xml:space="preserve">זאת קביעה </w:t>
      </w:r>
      <w:r>
        <w:rPr>
          <w:rFonts w:ascii="David" w:hAnsi="David" w:hint="cs"/>
          <w:rtl/>
        </w:rPr>
        <w:t xml:space="preserve">עובדתית של השופט קמא, המבוססת על החומר הראייתי הרב שהוצג בפניו, לרבות של גורמי טיפול, שאין מקום להתערב בה ולשנותה. </w:t>
      </w:r>
    </w:p>
    <w:p w:rsidR="009A3EDE" w:rsidRDefault="009A3EDE" w:rsidP="009A3EDE">
      <w:pPr>
        <w:spacing w:after="120" w:line="360" w:lineRule="auto"/>
        <w:ind w:left="720" w:hanging="720"/>
        <w:jc w:val="both"/>
        <w:rPr>
          <w:rFonts w:ascii="David" w:hAnsi="David"/>
          <w:rtl/>
        </w:rPr>
      </w:pPr>
      <w:r>
        <w:rPr>
          <w:rFonts w:ascii="David" w:hAnsi="David" w:hint="cs"/>
          <w:rtl/>
        </w:rPr>
        <w:t>25.</w:t>
      </w:r>
      <w:r>
        <w:rPr>
          <w:rFonts w:ascii="David" w:hAnsi="David" w:hint="cs"/>
          <w:rtl/>
        </w:rPr>
        <w:tab/>
      </w:r>
      <w:r w:rsidRPr="00AD414D">
        <w:rPr>
          <w:rFonts w:ascii="David" w:hAnsi="David" w:hint="cs"/>
          <w:u w:val="single"/>
          <w:rtl/>
        </w:rPr>
        <w:t xml:space="preserve">מעבר לכך </w:t>
      </w:r>
      <w:r>
        <w:rPr>
          <w:rFonts w:ascii="David" w:hAnsi="David" w:hint="cs"/>
          <w:u w:val="single"/>
          <w:rtl/>
        </w:rPr>
        <w:t>-</w:t>
      </w:r>
      <w:r w:rsidRPr="00AD414D">
        <w:rPr>
          <w:rFonts w:ascii="David" w:hAnsi="David" w:hint="cs"/>
          <w:u w:val="single"/>
          <w:rtl/>
        </w:rPr>
        <w:t xml:space="preserve"> השופט קמא התייחס בהרחבה לטענות האב בדבר נ</w:t>
      </w:r>
      <w:r>
        <w:rPr>
          <w:rFonts w:ascii="David" w:hAnsi="David" w:hint="cs"/>
          <w:u w:val="single"/>
          <w:rtl/>
        </w:rPr>
        <w:t>י</w:t>
      </w:r>
      <w:r w:rsidRPr="00AD414D">
        <w:rPr>
          <w:rFonts w:ascii="David" w:hAnsi="David" w:hint="cs"/>
          <w:u w:val="single"/>
          <w:rtl/>
        </w:rPr>
        <w:t xml:space="preserve">סיונו ליישר ההדורים בין </w:t>
      </w:r>
      <w:r w:rsidR="00820F03">
        <w:rPr>
          <w:rFonts w:ascii="David" w:hAnsi="David" w:hint="cs"/>
          <w:u w:val="single"/>
          <w:rtl/>
        </w:rPr>
        <w:t>מ</w:t>
      </w:r>
      <w:r w:rsidR="00820F03">
        <w:rPr>
          <w:rFonts w:ascii="David" w:hAnsi="David"/>
          <w:u w:val="single"/>
          <w:rtl/>
        </w:rPr>
        <w:t>'</w:t>
      </w:r>
      <w:r w:rsidR="00820F03">
        <w:rPr>
          <w:rFonts w:ascii="David" w:hAnsi="David" w:hint="cs"/>
          <w:u w:val="single"/>
          <w:rtl/>
        </w:rPr>
        <w:t xml:space="preserve"> </w:t>
      </w:r>
      <w:r>
        <w:rPr>
          <w:rFonts w:ascii="David" w:hAnsi="David" w:hint="cs"/>
          <w:u w:val="single"/>
          <w:rtl/>
        </w:rPr>
        <w:t>לא</w:t>
      </w:r>
      <w:r w:rsidRPr="00AD414D">
        <w:rPr>
          <w:rFonts w:ascii="David" w:hAnsi="David" w:hint="cs"/>
          <w:u w:val="single"/>
          <w:rtl/>
        </w:rPr>
        <w:t>מו, ולא קיבלן כפשוטן, ונצטט הדברים (סעיף 29 לפסק הדין)</w:t>
      </w:r>
      <w:r>
        <w:rPr>
          <w:rFonts w:ascii="David" w:hAnsi="David" w:hint="cs"/>
          <w:rtl/>
        </w:rPr>
        <w:t>:</w:t>
      </w:r>
    </w:p>
    <w:p w:rsidR="009A3EDE" w:rsidRDefault="009A3EDE" w:rsidP="00D0669F">
      <w:pPr>
        <w:spacing w:after="120" w:line="360" w:lineRule="auto"/>
        <w:ind w:left="1440" w:right="851"/>
        <w:jc w:val="both"/>
        <w:rPr>
          <w:rFonts w:ascii="David" w:hAnsi="David"/>
          <w:b/>
          <w:bCs/>
          <w:rtl/>
        </w:rPr>
      </w:pPr>
      <w:r>
        <w:rPr>
          <w:rFonts w:ascii="David" w:hAnsi="David" w:hint="cs"/>
          <w:b/>
          <w:bCs/>
          <w:rtl/>
        </w:rPr>
        <w:t>"...</w:t>
      </w:r>
      <w:r w:rsidRPr="00AD414D">
        <w:rPr>
          <w:rFonts w:ascii="David" w:hAnsi="David"/>
          <w:b/>
          <w:bCs/>
          <w:rtl/>
        </w:rPr>
        <w:t xml:space="preserve">לטענת האב,  הוא ניסה ליישר את ההדורים בין האם </w:t>
      </w:r>
      <w:r w:rsidR="00D0669F">
        <w:rPr>
          <w:rFonts w:ascii="David" w:hAnsi="David" w:hint="cs"/>
          <w:b/>
          <w:bCs/>
          <w:rtl/>
        </w:rPr>
        <w:t>ל-מ'</w:t>
      </w:r>
      <w:r w:rsidRPr="00AD414D">
        <w:rPr>
          <w:rFonts w:ascii="David" w:hAnsi="David"/>
          <w:b/>
          <w:bCs/>
          <w:rtl/>
        </w:rPr>
        <w:t xml:space="preserve">, השתתף בטיפולים, שיתף פעולה בכל הנדרש,  והתנהגות האם, היא זו שמנעה פיוס וחידוש הקשר בינה לבין </w:t>
      </w:r>
      <w:r w:rsidR="00D0669F">
        <w:rPr>
          <w:rFonts w:ascii="David" w:hAnsi="David" w:hint="cs"/>
          <w:b/>
          <w:bCs/>
          <w:rtl/>
        </w:rPr>
        <w:t>מ'</w:t>
      </w:r>
      <w:r w:rsidRPr="00AD414D">
        <w:rPr>
          <w:rFonts w:ascii="David" w:hAnsi="David"/>
          <w:b/>
          <w:bCs/>
          <w:rtl/>
        </w:rPr>
        <w:t xml:space="preserve">.  איני מקבל טענה זו. אינני סבור כי האב הוכיח את טענתו, לפיה עשה כל לאל ידו לצורך חידוש הקשר בין </w:t>
      </w:r>
      <w:r w:rsidR="00820F03">
        <w:rPr>
          <w:rFonts w:ascii="David" w:hAnsi="David"/>
          <w:b/>
          <w:bCs/>
          <w:rtl/>
        </w:rPr>
        <w:t xml:space="preserve">מ' </w:t>
      </w:r>
      <w:r w:rsidRPr="00AD414D">
        <w:rPr>
          <w:rFonts w:ascii="David" w:hAnsi="David"/>
          <w:b/>
          <w:bCs/>
          <w:rtl/>
        </w:rPr>
        <w:t xml:space="preserve">לבין האם. לא הוכח כי האב ביצע מעשה אקטיבי משמעותי כלשהו, אשר יכולה היה להוביל לחידוש הקשר.  טענות האם לפיהן,  האב הסית  את </w:t>
      </w:r>
      <w:r w:rsidR="00D0669F">
        <w:rPr>
          <w:rFonts w:ascii="David" w:hAnsi="David" w:hint="cs"/>
          <w:b/>
          <w:bCs/>
          <w:rtl/>
        </w:rPr>
        <w:t>מ'</w:t>
      </w:r>
      <w:r w:rsidRPr="00AD414D">
        <w:rPr>
          <w:rFonts w:ascii="David" w:hAnsi="David"/>
          <w:b/>
          <w:bCs/>
          <w:rtl/>
        </w:rPr>
        <w:t xml:space="preserve">,  מתיישבות עם חומר הראיות, יותר מאשר טענות האב.  בנסיבותיו הקונקרטיות של המקרה דנן,  יש להחיל על האב  את החובה למנוע את הנזק הנטען.  עוד מצאתי בנסיבות העניין, כי היה על האב לנקוט אמצעי זהירות למניעת הנזק, שכן עם מעברו של </w:t>
      </w:r>
      <w:r w:rsidR="00820F03">
        <w:rPr>
          <w:rFonts w:ascii="David" w:hAnsi="David"/>
          <w:b/>
          <w:bCs/>
          <w:rtl/>
        </w:rPr>
        <w:t xml:space="preserve">מ' </w:t>
      </w:r>
      <w:r w:rsidRPr="00AD414D">
        <w:rPr>
          <w:rFonts w:ascii="David" w:hAnsi="David"/>
          <w:b/>
          <w:bCs/>
          <w:rtl/>
        </w:rPr>
        <w:t>להתגורר בבית האב חלה התדרדרות משמעותית ומהירה ב</w:t>
      </w:r>
      <w:r w:rsidR="00D0669F">
        <w:rPr>
          <w:rFonts w:ascii="David" w:hAnsi="David"/>
          <w:b/>
          <w:bCs/>
          <w:rtl/>
        </w:rPr>
        <w:t xml:space="preserve">קשר עם האם עד ניתוקו המוחלט.   </w:t>
      </w:r>
      <w:r w:rsidRPr="00AD414D">
        <w:rPr>
          <w:rFonts w:ascii="David" w:hAnsi="David"/>
          <w:b/>
          <w:bCs/>
          <w:rtl/>
        </w:rPr>
        <w:t>כהורה משמורן,  וככזה ש</w:t>
      </w:r>
      <w:r w:rsidR="00820F03">
        <w:rPr>
          <w:rFonts w:ascii="David" w:hAnsi="David"/>
          <w:b/>
          <w:bCs/>
          <w:rtl/>
        </w:rPr>
        <w:t xml:space="preserve">מ' </w:t>
      </w:r>
      <w:r w:rsidRPr="00AD414D">
        <w:rPr>
          <w:rFonts w:ascii="David" w:hAnsi="David"/>
          <w:b/>
          <w:bCs/>
          <w:rtl/>
        </w:rPr>
        <w:t xml:space="preserve">היה כל הזמן בחזקתו, חייב היה האב לנקוט בפעולות אקטיביות, משמעותיות, יצירתיות ובעלות משקל לצורך חידוש </w:t>
      </w:r>
      <w:r w:rsidRPr="00AD414D">
        <w:rPr>
          <w:rFonts w:ascii="David" w:hAnsi="David"/>
          <w:b/>
          <w:bCs/>
          <w:rtl/>
        </w:rPr>
        <w:lastRenderedPageBreak/>
        <w:t xml:space="preserve">הקשר, זאת הרבה מעבר לשיחות על ליבו של </w:t>
      </w:r>
      <w:r w:rsidR="00820F03">
        <w:rPr>
          <w:rFonts w:ascii="David" w:hAnsi="David"/>
          <w:b/>
          <w:bCs/>
          <w:rtl/>
        </w:rPr>
        <w:t xml:space="preserve">מ' </w:t>
      </w:r>
      <w:r w:rsidRPr="00AD414D">
        <w:rPr>
          <w:rFonts w:ascii="David" w:hAnsi="David"/>
          <w:b/>
          <w:bCs/>
          <w:rtl/>
        </w:rPr>
        <w:t>כפי שטען האב, שאף זאת לא הוכח. העברת החזקה באופן מלא לידי האב,</w:t>
      </w:r>
      <w:r>
        <w:rPr>
          <w:rFonts w:ascii="David" w:hAnsi="David"/>
          <w:b/>
          <w:bCs/>
          <w:rtl/>
        </w:rPr>
        <w:t xml:space="preserve"> יצרה סיכון בלתי סביר כלפי האם</w:t>
      </w:r>
      <w:r>
        <w:rPr>
          <w:rFonts w:ascii="David" w:hAnsi="David" w:hint="cs"/>
          <w:b/>
          <w:bCs/>
          <w:rtl/>
        </w:rPr>
        <w:t>".</w:t>
      </w:r>
    </w:p>
    <w:p w:rsidR="009A3EDE" w:rsidRDefault="009A3EDE" w:rsidP="009A3EDE">
      <w:pPr>
        <w:spacing w:after="120" w:line="360" w:lineRule="auto"/>
        <w:ind w:left="720"/>
        <w:jc w:val="both"/>
        <w:rPr>
          <w:rFonts w:ascii="David" w:hAnsi="David"/>
          <w:rtl/>
        </w:rPr>
      </w:pPr>
      <w:r>
        <w:rPr>
          <w:rFonts w:ascii="David" w:hAnsi="David" w:hint="cs"/>
          <w:rtl/>
        </w:rPr>
        <w:t xml:space="preserve">כנגד קביעות אלה של השופט קמא, לא מצאתי מענה הולם בהודעת הערעור, שיהא בכוחו לסתור את קביעת האחריות הנזיקית של האב. מכאן כי אין הצדקה להתערב בקביעותיו של השופט קמא בדבר אחריותו הנזיקית של האב בסוגיית הניכור ההורי. </w:t>
      </w:r>
    </w:p>
    <w:p w:rsidR="009A3EDE" w:rsidRDefault="009A3EDE" w:rsidP="009A3EDE">
      <w:pPr>
        <w:spacing w:after="120" w:line="360" w:lineRule="auto"/>
        <w:ind w:left="720"/>
        <w:jc w:val="both"/>
        <w:rPr>
          <w:rFonts w:ascii="David" w:hAnsi="David"/>
          <w:rtl/>
        </w:rPr>
      </w:pPr>
      <w:r>
        <w:rPr>
          <w:rFonts w:ascii="David" w:hAnsi="David" w:hint="cs"/>
          <w:rtl/>
        </w:rPr>
        <w:t xml:space="preserve">(כאן אעיר, כי למרות דבריי אלה, אבחן בהמשך שמא טענותיו של האב בנדון, המיוחסים כנגד עצם קביעת אחריותו הנזיקית, יכולות לשמש להגדלת שיעור האשם התורם שיש לייחס לאם בסוגיית הניכור ההורי). </w:t>
      </w:r>
    </w:p>
    <w:p w:rsidR="009A3EDE" w:rsidRDefault="009A3EDE" w:rsidP="009A3EDE">
      <w:pPr>
        <w:spacing w:after="120" w:line="360" w:lineRule="auto"/>
        <w:ind w:left="720" w:hanging="720"/>
        <w:jc w:val="both"/>
        <w:rPr>
          <w:rFonts w:ascii="David" w:hAnsi="David"/>
          <w:rtl/>
        </w:rPr>
      </w:pPr>
      <w:r>
        <w:rPr>
          <w:rFonts w:ascii="David" w:hAnsi="David" w:hint="cs"/>
          <w:rtl/>
        </w:rPr>
        <w:t>26.</w:t>
      </w:r>
      <w:r>
        <w:rPr>
          <w:rFonts w:ascii="David" w:hAnsi="David" w:hint="cs"/>
          <w:rtl/>
        </w:rPr>
        <w:tab/>
        <w:t xml:space="preserve">על כן כאמור אמליץ לחבריי לדחות את רכיב הערעור הראשון, הנוגע לעצם קביעת אחריותו של האב בנזיקין כלפי האם בסוגיית הניכור ההורי. </w:t>
      </w:r>
    </w:p>
    <w:p w:rsidR="009A3EDE" w:rsidRDefault="009A3EDE" w:rsidP="009A3EDE">
      <w:pPr>
        <w:spacing w:after="120" w:line="360" w:lineRule="auto"/>
        <w:ind w:left="720" w:hanging="720"/>
        <w:jc w:val="both"/>
        <w:rPr>
          <w:rFonts w:ascii="David" w:hAnsi="David"/>
          <w:rtl/>
        </w:rPr>
      </w:pPr>
    </w:p>
    <w:p w:rsidR="009A3EDE" w:rsidRDefault="009A3EDE" w:rsidP="009A3EDE">
      <w:pPr>
        <w:spacing w:after="120" w:line="360" w:lineRule="auto"/>
        <w:ind w:left="720" w:hanging="720"/>
        <w:jc w:val="both"/>
        <w:rPr>
          <w:rFonts w:ascii="David" w:hAnsi="David"/>
          <w:b/>
          <w:bCs/>
          <w:u w:val="single"/>
          <w:rtl/>
        </w:rPr>
      </w:pPr>
      <w:r w:rsidRPr="00F627E7">
        <w:rPr>
          <w:rFonts w:ascii="David" w:hAnsi="David" w:hint="cs"/>
          <w:b/>
          <w:bCs/>
          <w:u w:val="single"/>
          <w:rtl/>
        </w:rPr>
        <w:t>שיעור האשם התורם שיש לייחס לאם</w:t>
      </w:r>
    </w:p>
    <w:p w:rsidR="009A3EDE" w:rsidRDefault="009A3EDE" w:rsidP="009A3EDE">
      <w:pPr>
        <w:spacing w:after="120" w:line="360" w:lineRule="auto"/>
        <w:ind w:left="720" w:hanging="720"/>
        <w:jc w:val="both"/>
        <w:rPr>
          <w:rFonts w:ascii="David" w:hAnsi="David"/>
          <w:rtl/>
        </w:rPr>
      </w:pPr>
      <w:r>
        <w:rPr>
          <w:rFonts w:ascii="David" w:hAnsi="David" w:hint="cs"/>
          <w:rtl/>
        </w:rPr>
        <w:t>27.</w:t>
      </w:r>
      <w:r>
        <w:rPr>
          <w:rFonts w:ascii="David" w:hAnsi="David" w:hint="cs"/>
          <w:rtl/>
        </w:rPr>
        <w:tab/>
        <w:t xml:space="preserve">כאמור השופט פסק לחובת האם אשם תורם בשיעור של 25%, הכל כמפורט, לרבות הנימוקים לכך, בסעיף 13 לעיל. </w:t>
      </w:r>
    </w:p>
    <w:p w:rsidR="009A3EDE" w:rsidRDefault="009A3EDE" w:rsidP="009A3EDE">
      <w:pPr>
        <w:spacing w:after="120" w:line="360" w:lineRule="auto"/>
        <w:ind w:left="720" w:hanging="720"/>
        <w:jc w:val="both"/>
        <w:rPr>
          <w:rFonts w:ascii="David" w:hAnsi="David"/>
          <w:rtl/>
        </w:rPr>
      </w:pPr>
      <w:r>
        <w:rPr>
          <w:rFonts w:ascii="David" w:hAnsi="David" w:hint="cs"/>
          <w:rtl/>
        </w:rPr>
        <w:t>28.</w:t>
      </w:r>
      <w:r>
        <w:rPr>
          <w:rFonts w:ascii="David" w:hAnsi="David" w:hint="cs"/>
          <w:rtl/>
        </w:rPr>
        <w:tab/>
        <w:t xml:space="preserve">על קביעה זאת מלין האב בערעורו, וטוען כי בנסיבות דנן שיעור האשם התורם שיש לייחס למשיבה צריך להיות בשיעור גבוה, עד כדי מכריע, המאיין למעשה את אחריותו הנזיקית של האב.  </w:t>
      </w:r>
    </w:p>
    <w:p w:rsidR="009A3EDE" w:rsidRDefault="009A3EDE" w:rsidP="009A3EDE">
      <w:pPr>
        <w:spacing w:after="120" w:line="360" w:lineRule="auto"/>
        <w:ind w:left="720" w:hanging="720"/>
        <w:jc w:val="both"/>
        <w:rPr>
          <w:rFonts w:ascii="David" w:hAnsi="David"/>
          <w:rtl/>
        </w:rPr>
      </w:pPr>
      <w:r>
        <w:rPr>
          <w:rFonts w:ascii="David" w:hAnsi="David" w:hint="cs"/>
          <w:rtl/>
        </w:rPr>
        <w:t>29.</w:t>
      </w:r>
      <w:r>
        <w:rPr>
          <w:rFonts w:ascii="David" w:hAnsi="David" w:hint="cs"/>
          <w:rtl/>
        </w:rPr>
        <w:tab/>
      </w:r>
      <w:r w:rsidRPr="00F627E7">
        <w:rPr>
          <w:rFonts w:ascii="David" w:hAnsi="David" w:hint="cs"/>
          <w:u w:val="single"/>
          <w:rtl/>
        </w:rPr>
        <w:t>טרם שנבחן את טענות הצדדים בנדון נאמר מספר מילים על ה"אשם התורם" הקבוע בסעיף 68</w:t>
      </w:r>
      <w:r>
        <w:rPr>
          <w:rFonts w:ascii="David" w:hAnsi="David" w:hint="cs"/>
          <w:u w:val="single"/>
          <w:rtl/>
        </w:rPr>
        <w:t>(א)</w:t>
      </w:r>
      <w:r w:rsidRPr="00F627E7">
        <w:rPr>
          <w:rFonts w:ascii="David" w:hAnsi="David" w:hint="cs"/>
          <w:u w:val="single"/>
          <w:rtl/>
        </w:rPr>
        <w:t xml:space="preserve"> לפקודת הנזיקין, שלשונו כדלקמן</w:t>
      </w:r>
      <w:r>
        <w:rPr>
          <w:rFonts w:ascii="David" w:hAnsi="David" w:hint="cs"/>
          <w:rtl/>
        </w:rPr>
        <w:t>:</w:t>
      </w:r>
    </w:p>
    <w:p w:rsidR="009A3EDE" w:rsidRDefault="009A3EDE" w:rsidP="009A3EDE">
      <w:pPr>
        <w:spacing w:after="120" w:line="360" w:lineRule="auto"/>
        <w:ind w:left="1440" w:right="993"/>
        <w:jc w:val="both"/>
        <w:rPr>
          <w:rFonts w:ascii="David" w:hAnsi="David"/>
          <w:b/>
          <w:bCs/>
          <w:rtl/>
        </w:rPr>
      </w:pPr>
      <w:r>
        <w:rPr>
          <w:rFonts w:ascii="David" w:hAnsi="David" w:hint="cs"/>
          <w:b/>
          <w:bCs/>
          <w:rtl/>
        </w:rPr>
        <w:t>"</w:t>
      </w:r>
      <w:r w:rsidRPr="002518EB">
        <w:rPr>
          <w:rFonts w:ascii="David" w:hAnsi="David"/>
          <w:b/>
          <w:bCs/>
          <w:rtl/>
        </w:rPr>
        <w:t>סבל אדם נזק, מקצתו עקב אשמו שלו ומקצתו עקב אשמו של אחר, לא תיכשל תביעת פיצויים בעד הנזק מחמת אשמו של הניזוק, אלא שהפיצויים שייפָּרעו יופחתו בשיעור שבית המשפט ימצא לנכון ולצודק תוך התחשבות במידת אחריותו של התובע לנזק; אולם האמור בזה אין כוחו יפה להכשיל הגנה הנובעת מחוזה, ואם חל על התביעה חוזה או דין המגבילים את החבות, לא ייפָּרע התובע פיצויים למעלה מן הגבול שנקבע כאמור</w:t>
      </w:r>
      <w:r>
        <w:rPr>
          <w:rFonts w:ascii="David" w:hAnsi="David" w:hint="cs"/>
          <w:b/>
          <w:bCs/>
          <w:rtl/>
        </w:rPr>
        <w:t>".</w:t>
      </w:r>
    </w:p>
    <w:p w:rsidR="009A3EDE" w:rsidRDefault="009A3EDE" w:rsidP="009A3EDE">
      <w:pPr>
        <w:spacing w:after="120" w:line="360" w:lineRule="auto"/>
        <w:ind w:left="706"/>
        <w:jc w:val="both"/>
        <w:rPr>
          <w:rFonts w:ascii="David" w:hAnsi="David"/>
          <w:rtl/>
        </w:rPr>
      </w:pPr>
      <w:r>
        <w:rPr>
          <w:rFonts w:ascii="David" w:hAnsi="David" w:hint="cs"/>
          <w:rtl/>
        </w:rPr>
        <w:t xml:space="preserve">הפסיקה קבעה </w:t>
      </w:r>
      <w:r w:rsidRPr="002A7CBF">
        <w:rPr>
          <w:rFonts w:ascii="David" w:hAnsi="David"/>
          <w:rtl/>
        </w:rPr>
        <w:t>מבחן כפול בשאלת החלתו של אשם תורם. מבחן זה כוחו יפה ותהא העוולה הנזיקית אשר תהא.</w:t>
      </w:r>
    </w:p>
    <w:p w:rsidR="009A3EDE" w:rsidRDefault="009A3EDE" w:rsidP="009A3EDE">
      <w:pPr>
        <w:spacing w:after="120" w:line="360" w:lineRule="auto"/>
        <w:ind w:left="706"/>
        <w:jc w:val="both"/>
        <w:rPr>
          <w:rFonts w:ascii="David" w:hAnsi="David"/>
          <w:rtl/>
        </w:rPr>
      </w:pPr>
      <w:r>
        <w:rPr>
          <w:rFonts w:ascii="David" w:hAnsi="David" w:hint="cs"/>
          <w:rtl/>
        </w:rPr>
        <w:t xml:space="preserve">היסוד הראשון </w:t>
      </w:r>
      <w:r w:rsidRPr="002A7CBF">
        <w:rPr>
          <w:rFonts w:ascii="David" w:hAnsi="David"/>
          <w:rtl/>
        </w:rPr>
        <w:t>הוא פיזי, וענ</w:t>
      </w:r>
      <w:r>
        <w:rPr>
          <w:rFonts w:ascii="David" w:hAnsi="David" w:hint="cs"/>
          <w:rtl/>
        </w:rPr>
        <w:t>י</w:t>
      </w:r>
      <w:r w:rsidRPr="002A7CBF">
        <w:rPr>
          <w:rFonts w:ascii="David" w:hAnsi="David"/>
          <w:rtl/>
        </w:rPr>
        <w:t xml:space="preserve">ינו בשאלה אם בפועל הוסיפה התנהגותו של הניזוק על הנזק שהסב המזיק. </w:t>
      </w:r>
    </w:p>
    <w:p w:rsidR="009A3EDE" w:rsidRDefault="009A3EDE" w:rsidP="009A3EDE">
      <w:pPr>
        <w:spacing w:after="120" w:line="360" w:lineRule="auto"/>
        <w:ind w:left="706"/>
        <w:jc w:val="both"/>
        <w:rPr>
          <w:rFonts w:ascii="David" w:hAnsi="David"/>
          <w:rtl/>
        </w:rPr>
      </w:pPr>
      <w:r w:rsidRPr="002A7CBF">
        <w:rPr>
          <w:rFonts w:ascii="David" w:hAnsi="David"/>
          <w:rtl/>
        </w:rPr>
        <w:t xml:space="preserve">היסוד השני הוא נורמטיבי, ובוחן את השאלה </w:t>
      </w:r>
      <w:r>
        <w:rPr>
          <w:rFonts w:ascii="David" w:hAnsi="David" w:hint="cs"/>
          <w:rtl/>
        </w:rPr>
        <w:t>האם</w:t>
      </w:r>
      <w:r w:rsidRPr="002A7CBF">
        <w:rPr>
          <w:rFonts w:ascii="David" w:hAnsi="David"/>
          <w:rtl/>
        </w:rPr>
        <w:t xml:space="preserve"> התנהגות זו נושאת עמה ממד</w:t>
      </w:r>
      <w:r>
        <w:rPr>
          <w:rFonts w:ascii="David" w:hAnsi="David"/>
          <w:rtl/>
        </w:rPr>
        <w:t xml:space="preserve"> של אשם, המצדיק את הפחתת הפיצוי</w:t>
      </w:r>
      <w:r>
        <w:rPr>
          <w:rFonts w:ascii="David" w:hAnsi="David" w:hint="cs"/>
          <w:rtl/>
        </w:rPr>
        <w:t>.</w:t>
      </w:r>
    </w:p>
    <w:p w:rsidR="009A3EDE" w:rsidRDefault="009A3EDE" w:rsidP="009A3EDE">
      <w:pPr>
        <w:spacing w:after="120" w:line="360" w:lineRule="auto"/>
        <w:ind w:left="706"/>
        <w:jc w:val="both"/>
        <w:rPr>
          <w:rFonts w:ascii="David" w:hAnsi="David"/>
          <w:b/>
          <w:bCs/>
          <w:rtl/>
        </w:rPr>
      </w:pPr>
      <w:r>
        <w:rPr>
          <w:rFonts w:ascii="David" w:hAnsi="David" w:hint="cs"/>
          <w:rtl/>
        </w:rPr>
        <w:t xml:space="preserve">להלן: </w:t>
      </w:r>
      <w:r>
        <w:rPr>
          <w:rFonts w:ascii="David" w:hAnsi="David" w:hint="cs"/>
          <w:b/>
          <w:bCs/>
          <w:rtl/>
        </w:rPr>
        <w:t>"המבחן הכפול".</w:t>
      </w:r>
    </w:p>
    <w:p w:rsidR="00D0669F" w:rsidRPr="002A7CBF" w:rsidRDefault="00D0669F" w:rsidP="009A3EDE">
      <w:pPr>
        <w:spacing w:after="120" w:line="360" w:lineRule="auto"/>
        <w:ind w:left="706"/>
        <w:jc w:val="both"/>
        <w:rPr>
          <w:rFonts w:ascii="David" w:hAnsi="David"/>
          <w:b/>
          <w:bCs/>
          <w:rtl/>
        </w:rPr>
      </w:pPr>
    </w:p>
    <w:p w:rsidR="009A3EDE" w:rsidRDefault="009A3EDE" w:rsidP="009A3EDE">
      <w:pPr>
        <w:spacing w:after="120" w:line="360" w:lineRule="auto"/>
        <w:ind w:left="706"/>
        <w:jc w:val="both"/>
        <w:rPr>
          <w:rFonts w:ascii="David" w:hAnsi="David"/>
          <w:rtl/>
        </w:rPr>
      </w:pPr>
      <w:r w:rsidRPr="002A7CBF">
        <w:rPr>
          <w:rFonts w:ascii="David" w:hAnsi="David" w:hint="cs"/>
          <w:u w:val="single"/>
          <w:rtl/>
        </w:rPr>
        <w:lastRenderedPageBreak/>
        <w:t>ראו לענין זה</w:t>
      </w:r>
      <w:r>
        <w:rPr>
          <w:rFonts w:ascii="David" w:hAnsi="David" w:hint="cs"/>
          <w:rtl/>
        </w:rPr>
        <w:t>:</w:t>
      </w:r>
    </w:p>
    <w:p w:rsidR="009A3EDE" w:rsidRDefault="009A3EDE" w:rsidP="009A3EDE">
      <w:pPr>
        <w:spacing w:after="120" w:line="360" w:lineRule="auto"/>
        <w:ind w:left="706"/>
        <w:jc w:val="both"/>
        <w:rPr>
          <w:rFonts w:ascii="David" w:hAnsi="David"/>
          <w:rtl/>
        </w:rPr>
      </w:pPr>
      <w:r w:rsidRPr="002A7CBF">
        <w:rPr>
          <w:rFonts w:ascii="David" w:hAnsi="David"/>
          <w:rtl/>
        </w:rPr>
        <w:t>ע"א 10078</w:t>
      </w:r>
      <w:r>
        <w:rPr>
          <w:rFonts w:ascii="David" w:hAnsi="David" w:hint="cs"/>
          <w:rtl/>
        </w:rPr>
        <w:t>/</w:t>
      </w:r>
      <w:r w:rsidRPr="002A7CBF">
        <w:rPr>
          <w:rFonts w:ascii="David" w:hAnsi="David"/>
          <w:rtl/>
        </w:rPr>
        <w:t xml:space="preserve">03 </w:t>
      </w:r>
      <w:r w:rsidRPr="002A7CBF">
        <w:rPr>
          <w:rFonts w:ascii="David" w:hAnsi="David"/>
          <w:b/>
          <w:bCs/>
          <w:rtl/>
        </w:rPr>
        <w:t>אורי שתיל נ' מקורות חברת מים בע"מ</w:t>
      </w:r>
      <w:r w:rsidRPr="002A7CBF">
        <w:rPr>
          <w:rFonts w:ascii="David" w:hAnsi="David"/>
          <w:rtl/>
        </w:rPr>
        <w:t xml:space="preserve"> , פ"ד סב(1) 803</w:t>
      </w:r>
      <w:r>
        <w:rPr>
          <w:rFonts w:ascii="David" w:hAnsi="David" w:hint="cs"/>
          <w:rtl/>
        </w:rPr>
        <w:t xml:space="preserve">, פסקה 46 (2007). </w:t>
      </w:r>
    </w:p>
    <w:p w:rsidR="009A3EDE" w:rsidRDefault="009A3EDE" w:rsidP="009A3EDE">
      <w:pPr>
        <w:spacing w:after="120" w:line="360" w:lineRule="auto"/>
        <w:ind w:left="706"/>
        <w:jc w:val="both"/>
        <w:rPr>
          <w:rFonts w:ascii="David" w:hAnsi="David"/>
          <w:rtl/>
        </w:rPr>
      </w:pPr>
      <w:r>
        <w:rPr>
          <w:rFonts w:ascii="David" w:hAnsi="David" w:hint="cs"/>
          <w:rtl/>
        </w:rPr>
        <w:t xml:space="preserve">ישנה גם פסיקה שקבעה שהמבחן </w:t>
      </w:r>
      <w:r w:rsidRPr="002A7CBF">
        <w:rPr>
          <w:rFonts w:ascii="David" w:hAnsi="David"/>
          <w:rtl/>
        </w:rPr>
        <w:t xml:space="preserve">לקיומו של אשם </w:t>
      </w:r>
      <w:r>
        <w:rPr>
          <w:rFonts w:ascii="David" w:hAnsi="David"/>
          <w:rtl/>
        </w:rPr>
        <w:t>תורם הוא 'מבחן חלוקת האשמה'. על</w:t>
      </w:r>
      <w:r w:rsidRPr="002A7CBF">
        <w:rPr>
          <w:rFonts w:ascii="David" w:hAnsi="David"/>
          <w:rtl/>
        </w:rPr>
        <w:t xml:space="preserve"> בית המשפט לשקול מבחינה מוסרית את מעשי הרשלנות של המזיק והניזוק בהצבתם זה מול זה כדי להשוות ולהעריך מבחינת האשמה המוסרית, את מידתם ומשקלם של מעשיו ומחדליו של כל צד</w:t>
      </w:r>
      <w:r>
        <w:rPr>
          <w:rFonts w:ascii="David" w:hAnsi="David" w:hint="cs"/>
          <w:rtl/>
        </w:rPr>
        <w:t xml:space="preserve"> (להלן: </w:t>
      </w:r>
      <w:r>
        <w:rPr>
          <w:rFonts w:ascii="David" w:hAnsi="David" w:hint="cs"/>
          <w:b/>
          <w:bCs/>
          <w:rtl/>
        </w:rPr>
        <w:t>"מבחן חלוקת האשמה"</w:t>
      </w:r>
      <w:r>
        <w:rPr>
          <w:rFonts w:ascii="David" w:hAnsi="David" w:hint="cs"/>
          <w:rtl/>
        </w:rPr>
        <w:t>).</w:t>
      </w:r>
    </w:p>
    <w:p w:rsidR="009A3EDE" w:rsidRDefault="009A3EDE" w:rsidP="009A3EDE">
      <w:pPr>
        <w:spacing w:after="120" w:line="360" w:lineRule="auto"/>
        <w:ind w:left="706"/>
        <w:jc w:val="both"/>
        <w:rPr>
          <w:rFonts w:ascii="David" w:hAnsi="David"/>
          <w:rtl/>
        </w:rPr>
      </w:pPr>
      <w:r w:rsidRPr="002A7CBF">
        <w:rPr>
          <w:rFonts w:ascii="David" w:hAnsi="David" w:hint="cs"/>
          <w:u w:val="single"/>
          <w:rtl/>
        </w:rPr>
        <w:t>ראו לענין זה</w:t>
      </w:r>
      <w:r>
        <w:rPr>
          <w:rFonts w:ascii="David" w:hAnsi="David" w:hint="cs"/>
          <w:rtl/>
        </w:rPr>
        <w:t>:</w:t>
      </w:r>
      <w:r w:rsidRPr="002A7CBF">
        <w:rPr>
          <w:rFonts w:ascii="David" w:hAnsi="David"/>
          <w:rtl/>
        </w:rPr>
        <w:t xml:space="preserve"> </w:t>
      </w:r>
    </w:p>
    <w:p w:rsidR="009A3EDE" w:rsidRDefault="009A3EDE" w:rsidP="009A3EDE">
      <w:pPr>
        <w:spacing w:after="120" w:line="360" w:lineRule="auto"/>
        <w:ind w:left="706"/>
        <w:jc w:val="both"/>
        <w:rPr>
          <w:rFonts w:ascii="David" w:hAnsi="David"/>
          <w:rtl/>
        </w:rPr>
      </w:pPr>
      <w:r w:rsidRPr="002A7CBF">
        <w:rPr>
          <w:rFonts w:ascii="David" w:hAnsi="David"/>
          <w:rtl/>
        </w:rPr>
        <w:t xml:space="preserve">ע"א 542/87  </w:t>
      </w:r>
      <w:r w:rsidRPr="002A7CBF">
        <w:rPr>
          <w:rFonts w:ascii="David" w:hAnsi="David"/>
          <w:b/>
          <w:bCs/>
          <w:rtl/>
        </w:rPr>
        <w:t xml:space="preserve">קופת אשראי וחסכון אגודה נ' מוסטפא בן אחמד עוואד </w:t>
      </w:r>
      <w:r>
        <w:rPr>
          <w:rFonts w:ascii="David" w:hAnsi="David"/>
          <w:rtl/>
        </w:rPr>
        <w:t>פ"ד מד(1), 422</w:t>
      </w:r>
      <w:r>
        <w:rPr>
          <w:rFonts w:ascii="David" w:hAnsi="David" w:hint="cs"/>
          <w:rtl/>
        </w:rPr>
        <w:t>,</w:t>
      </w:r>
      <w:r w:rsidRPr="002A7CBF">
        <w:rPr>
          <w:rFonts w:ascii="David" w:hAnsi="David"/>
          <w:rtl/>
        </w:rPr>
        <w:t xml:space="preserve"> 438-439</w:t>
      </w:r>
      <w:r>
        <w:rPr>
          <w:rFonts w:ascii="David" w:hAnsi="David" w:hint="cs"/>
          <w:rtl/>
        </w:rPr>
        <w:t xml:space="preserve"> </w:t>
      </w:r>
      <w:r w:rsidRPr="002A7CBF">
        <w:rPr>
          <w:rFonts w:ascii="David" w:hAnsi="David"/>
          <w:rtl/>
        </w:rPr>
        <w:t xml:space="preserve">(1990); ע"א 6649/96 </w:t>
      </w:r>
      <w:r w:rsidRPr="002A7CBF">
        <w:rPr>
          <w:rFonts w:ascii="David" w:hAnsi="David"/>
          <w:b/>
          <w:bCs/>
          <w:rtl/>
        </w:rPr>
        <w:t>הסתדרות מדיצינית הדסה נ' עופרה גלעד</w:t>
      </w:r>
      <w:r>
        <w:rPr>
          <w:rFonts w:ascii="David" w:hAnsi="David"/>
          <w:rtl/>
        </w:rPr>
        <w:t xml:space="preserve"> פ"ד נג(3), 529</w:t>
      </w:r>
      <w:r>
        <w:rPr>
          <w:rFonts w:ascii="David" w:hAnsi="David" w:hint="cs"/>
          <w:rtl/>
        </w:rPr>
        <w:t xml:space="preserve">, </w:t>
      </w:r>
      <w:r w:rsidRPr="002A7CBF">
        <w:rPr>
          <w:rFonts w:ascii="David" w:hAnsi="David"/>
          <w:rtl/>
        </w:rPr>
        <w:t xml:space="preserve">546-547 (1999); </w:t>
      </w:r>
    </w:p>
    <w:p w:rsidR="009A3EDE" w:rsidRDefault="009A3EDE" w:rsidP="009A3EDE">
      <w:pPr>
        <w:spacing w:after="120" w:line="360" w:lineRule="auto"/>
        <w:ind w:left="706"/>
        <w:jc w:val="both"/>
        <w:rPr>
          <w:rFonts w:ascii="David" w:hAnsi="David"/>
          <w:rtl/>
        </w:rPr>
      </w:pPr>
      <w:r w:rsidRPr="002A7CBF">
        <w:rPr>
          <w:rFonts w:ascii="David" w:hAnsi="David"/>
          <w:rtl/>
        </w:rPr>
        <w:t xml:space="preserve">ע"א 7130/01  </w:t>
      </w:r>
      <w:r w:rsidRPr="002A7CBF">
        <w:rPr>
          <w:rFonts w:ascii="David" w:hAnsi="David"/>
          <w:b/>
          <w:bCs/>
          <w:rtl/>
        </w:rPr>
        <w:t>סולל בונה בניין ותשתית בע"מ ואח' נ' יגאל תנעמי ואח'</w:t>
      </w:r>
      <w:r w:rsidRPr="002A7CBF">
        <w:rPr>
          <w:rFonts w:ascii="David" w:hAnsi="David"/>
          <w:rtl/>
        </w:rPr>
        <w:t xml:space="preserve"> פ"ד נח(1) 1, 20 (2003); </w:t>
      </w:r>
    </w:p>
    <w:p w:rsidR="009A3EDE" w:rsidRDefault="009A3EDE" w:rsidP="009A3EDE">
      <w:pPr>
        <w:spacing w:after="120" w:line="360" w:lineRule="auto"/>
        <w:ind w:left="706"/>
        <w:jc w:val="both"/>
        <w:rPr>
          <w:rFonts w:ascii="David" w:hAnsi="David"/>
          <w:rtl/>
        </w:rPr>
      </w:pPr>
      <w:r w:rsidRPr="002A7CBF">
        <w:rPr>
          <w:rFonts w:ascii="David" w:hAnsi="David"/>
          <w:rtl/>
        </w:rPr>
        <w:t xml:space="preserve">ע"א 2245/91 </w:t>
      </w:r>
      <w:r w:rsidRPr="002A7CBF">
        <w:rPr>
          <w:rFonts w:ascii="David" w:hAnsi="David"/>
          <w:b/>
          <w:bCs/>
          <w:rtl/>
        </w:rPr>
        <w:t>ד"ר בנדיקט ברנשטיין ואח' נ' ניסים עטיה</w:t>
      </w:r>
      <w:r w:rsidRPr="002A7CBF">
        <w:rPr>
          <w:rFonts w:ascii="David" w:hAnsi="David"/>
          <w:rtl/>
        </w:rPr>
        <w:t xml:space="preserve">  פ"ד מט(3) 709,</w:t>
      </w:r>
      <w:r>
        <w:rPr>
          <w:rFonts w:ascii="David" w:hAnsi="David"/>
          <w:rtl/>
        </w:rPr>
        <w:t xml:space="preserve"> 723-724 (1995)</w:t>
      </w:r>
      <w:r w:rsidRPr="002A7CBF">
        <w:rPr>
          <w:rFonts w:ascii="David" w:hAnsi="David"/>
          <w:rtl/>
        </w:rPr>
        <w:t>.</w:t>
      </w:r>
    </w:p>
    <w:p w:rsidR="009A3EDE" w:rsidRDefault="009A3EDE" w:rsidP="009A3EDE">
      <w:pPr>
        <w:spacing w:after="120" w:line="360" w:lineRule="auto"/>
        <w:ind w:left="706"/>
        <w:jc w:val="both"/>
        <w:rPr>
          <w:rFonts w:ascii="David" w:hAnsi="David"/>
          <w:rtl/>
        </w:rPr>
      </w:pPr>
      <w:r>
        <w:rPr>
          <w:rFonts w:ascii="David" w:hAnsi="David" w:hint="cs"/>
          <w:rtl/>
        </w:rPr>
        <w:t>על פי המבחנים הנ"ל נבחן המקרה דנן.</w:t>
      </w:r>
    </w:p>
    <w:p w:rsidR="009A3EDE" w:rsidRPr="001900EA" w:rsidRDefault="009A3EDE" w:rsidP="009A3EDE">
      <w:pPr>
        <w:spacing w:after="120" w:line="360" w:lineRule="auto"/>
        <w:ind w:left="706"/>
        <w:jc w:val="both"/>
        <w:rPr>
          <w:rFonts w:ascii="David" w:hAnsi="David"/>
          <w:rtl/>
        </w:rPr>
      </w:pPr>
      <w:r w:rsidRPr="001900EA">
        <w:rPr>
          <w:rFonts w:ascii="David" w:hAnsi="David" w:hint="cs"/>
          <w:u w:val="single"/>
          <w:rtl/>
        </w:rPr>
        <w:t>בנוסף</w:t>
      </w:r>
      <w:r>
        <w:rPr>
          <w:rFonts w:ascii="David" w:hAnsi="David" w:hint="cs"/>
          <w:rtl/>
        </w:rPr>
        <w:t xml:space="preserve"> - </w:t>
      </w:r>
      <w:r w:rsidRPr="00F301FA">
        <w:rPr>
          <w:rFonts w:ascii="David" w:hAnsi="David"/>
          <w:rtl/>
        </w:rPr>
        <w:t>מידת ההפחתה של הפיצוי בשל אשם תורם מסורה לשיקול דעתו של בית המשפט הדן בעניין, והכלל הוא כי ערכאת הערעור אינה נוהגת להתערב בכגון דא אלא במשורה ובמקרים חריגים המצדיקים זאת</w:t>
      </w:r>
      <w:r>
        <w:rPr>
          <w:rFonts w:ascii="David" w:hAnsi="David" w:hint="cs"/>
          <w:rtl/>
        </w:rPr>
        <w:t xml:space="preserve">. אחד המקרים הוא - </w:t>
      </w:r>
      <w:r w:rsidRPr="001900EA">
        <w:rPr>
          <w:rFonts w:ascii="David" w:hAnsi="David"/>
          <w:rtl/>
        </w:rPr>
        <w:t>כאשר נדרש שינוי עקרוני בהערכה</w:t>
      </w:r>
      <w:r>
        <w:rPr>
          <w:rFonts w:ascii="David" w:hAnsi="David" w:hint="cs"/>
          <w:rtl/>
        </w:rPr>
        <w:t xml:space="preserve">, או כאשר </w:t>
      </w:r>
      <w:r w:rsidRPr="001900EA">
        <w:rPr>
          <w:rFonts w:ascii="David" w:hAnsi="David"/>
          <w:rtl/>
        </w:rPr>
        <w:t>הערכאה הדיונית התעלמה מראיות או לא שמה לב לפרטים מהותיים בחומר הראיות</w:t>
      </w:r>
      <w:r>
        <w:rPr>
          <w:rFonts w:ascii="David" w:hAnsi="David" w:hint="cs"/>
          <w:rtl/>
        </w:rPr>
        <w:t xml:space="preserve"> ועוד;</w:t>
      </w:r>
    </w:p>
    <w:p w:rsidR="009A3EDE" w:rsidRDefault="009A3EDE" w:rsidP="009A3EDE">
      <w:pPr>
        <w:spacing w:after="120" w:line="360" w:lineRule="auto"/>
        <w:ind w:left="706"/>
        <w:jc w:val="both"/>
        <w:rPr>
          <w:rFonts w:ascii="David" w:hAnsi="David"/>
          <w:rtl/>
        </w:rPr>
      </w:pPr>
      <w:r w:rsidRPr="00F301FA">
        <w:rPr>
          <w:rFonts w:ascii="David" w:hAnsi="David" w:hint="cs"/>
          <w:u w:val="single"/>
          <w:rtl/>
        </w:rPr>
        <w:t>ראו לענין זה</w:t>
      </w:r>
      <w:r>
        <w:rPr>
          <w:rFonts w:ascii="David" w:hAnsi="David" w:hint="cs"/>
          <w:rtl/>
        </w:rPr>
        <w:t>:</w:t>
      </w:r>
    </w:p>
    <w:p w:rsidR="009A3EDE" w:rsidRDefault="009A3EDE" w:rsidP="009A3EDE">
      <w:pPr>
        <w:spacing w:after="120" w:line="360" w:lineRule="auto"/>
        <w:ind w:left="706"/>
        <w:jc w:val="both"/>
        <w:rPr>
          <w:rFonts w:ascii="David" w:hAnsi="David"/>
          <w:rtl/>
        </w:rPr>
      </w:pPr>
      <w:r w:rsidRPr="00F301FA">
        <w:rPr>
          <w:rFonts w:ascii="David" w:hAnsi="David"/>
          <w:rtl/>
        </w:rPr>
        <w:t xml:space="preserve">ע"א 632/81 </w:t>
      </w:r>
      <w:r w:rsidRPr="00F301FA">
        <w:rPr>
          <w:rFonts w:ascii="David" w:hAnsi="David"/>
          <w:b/>
          <w:bCs/>
          <w:rtl/>
        </w:rPr>
        <w:t>בן יעקב נ' מיכאלי</w:t>
      </w:r>
      <w:r w:rsidRPr="00F301FA">
        <w:rPr>
          <w:rFonts w:ascii="David" w:hAnsi="David"/>
          <w:rtl/>
        </w:rPr>
        <w:t>, פ"ד לח(4) 12, 17;</w:t>
      </w:r>
    </w:p>
    <w:p w:rsidR="009A3EDE" w:rsidRDefault="009A3EDE" w:rsidP="009A3EDE">
      <w:pPr>
        <w:spacing w:after="120" w:line="360" w:lineRule="auto"/>
        <w:ind w:left="706"/>
        <w:jc w:val="both"/>
        <w:rPr>
          <w:rFonts w:ascii="David" w:hAnsi="David"/>
          <w:rtl/>
        </w:rPr>
      </w:pPr>
      <w:r w:rsidRPr="00F301FA">
        <w:rPr>
          <w:rFonts w:ascii="David" w:hAnsi="David"/>
          <w:rtl/>
        </w:rPr>
        <w:t xml:space="preserve">ע"א 3214/98 </w:t>
      </w:r>
      <w:r w:rsidRPr="00F301FA">
        <w:rPr>
          <w:rFonts w:ascii="David" w:hAnsi="David"/>
          <w:b/>
          <w:bCs/>
          <w:rtl/>
        </w:rPr>
        <w:t>שלוס נ' רגומי (1978) בע"מ</w:t>
      </w:r>
      <w:r w:rsidRPr="00F301FA">
        <w:rPr>
          <w:rFonts w:ascii="David" w:hAnsi="David"/>
          <w:rtl/>
        </w:rPr>
        <w:t>, פ"ד נח(</w:t>
      </w:r>
      <w:r>
        <w:rPr>
          <w:rFonts w:ascii="David" w:hAnsi="David"/>
          <w:rtl/>
        </w:rPr>
        <w:t>4) 445, 458</w:t>
      </w:r>
      <w:r>
        <w:rPr>
          <w:rFonts w:ascii="David" w:hAnsi="David" w:hint="cs"/>
          <w:rtl/>
        </w:rPr>
        <w:t>;</w:t>
      </w:r>
    </w:p>
    <w:p w:rsidR="009A3EDE" w:rsidRDefault="009A3EDE" w:rsidP="009A3EDE">
      <w:pPr>
        <w:spacing w:after="120" w:line="360" w:lineRule="auto"/>
        <w:ind w:left="706"/>
        <w:jc w:val="both"/>
        <w:rPr>
          <w:rFonts w:ascii="David" w:hAnsi="David"/>
          <w:rtl/>
        </w:rPr>
      </w:pPr>
      <w:r w:rsidRPr="00F301FA">
        <w:rPr>
          <w:rFonts w:ascii="David" w:hAnsi="David"/>
          <w:rtl/>
        </w:rPr>
        <w:t xml:space="preserve">ע"א 2906-01 </w:t>
      </w:r>
      <w:r w:rsidRPr="00F301FA">
        <w:rPr>
          <w:rFonts w:ascii="David" w:hAnsi="David"/>
          <w:b/>
          <w:bCs/>
          <w:rtl/>
        </w:rPr>
        <w:t>עירית חיפה נ' מנורה חברה לביטוח בע"מ</w:t>
      </w:r>
      <w:r>
        <w:rPr>
          <w:rFonts w:ascii="David" w:hAnsi="David" w:hint="cs"/>
          <w:rtl/>
        </w:rPr>
        <w:t>, פסקה 53 (25.5.2006;</w:t>
      </w:r>
    </w:p>
    <w:p w:rsidR="009A3EDE" w:rsidRDefault="009A3EDE" w:rsidP="009A3EDE">
      <w:pPr>
        <w:spacing w:after="120" w:line="360" w:lineRule="auto"/>
        <w:ind w:left="706"/>
        <w:jc w:val="both"/>
        <w:rPr>
          <w:rFonts w:ascii="David" w:hAnsi="David"/>
          <w:rtl/>
        </w:rPr>
      </w:pPr>
      <w:r w:rsidRPr="001900EA">
        <w:rPr>
          <w:rFonts w:ascii="David" w:hAnsi="David"/>
          <w:rtl/>
        </w:rPr>
        <w:t xml:space="preserve">ע"א 8684/11 ‏ </w:t>
      </w:r>
      <w:r w:rsidRPr="001900EA">
        <w:rPr>
          <w:rFonts w:ascii="David" w:hAnsi="David"/>
          <w:b/>
          <w:bCs/>
          <w:rtl/>
        </w:rPr>
        <w:t>שלמה (שלומי) אלקיים נ' עזבון המנוח ניב יבור</w:t>
      </w:r>
      <w:r>
        <w:rPr>
          <w:rFonts w:ascii="David" w:hAnsi="David" w:hint="cs"/>
          <w:rtl/>
        </w:rPr>
        <w:t>, פסקה 35</w:t>
      </w:r>
      <w:r>
        <w:rPr>
          <w:rFonts w:ascii="David" w:hAnsi="David"/>
          <w:rtl/>
        </w:rPr>
        <w:t xml:space="preserve"> (25.6.2014)</w:t>
      </w:r>
      <w:r>
        <w:rPr>
          <w:rFonts w:ascii="David" w:hAnsi="David" w:hint="cs"/>
          <w:rtl/>
        </w:rPr>
        <w:t>;</w:t>
      </w:r>
    </w:p>
    <w:p w:rsidR="009A3EDE" w:rsidRPr="00F301FA" w:rsidRDefault="009A3EDE" w:rsidP="009A3EDE">
      <w:pPr>
        <w:spacing w:after="120" w:line="360" w:lineRule="auto"/>
        <w:ind w:left="706"/>
        <w:jc w:val="both"/>
        <w:rPr>
          <w:rFonts w:ascii="David" w:hAnsi="David"/>
          <w:rtl/>
        </w:rPr>
      </w:pPr>
      <w:r w:rsidRPr="001900EA">
        <w:rPr>
          <w:rFonts w:ascii="David" w:hAnsi="David"/>
          <w:rtl/>
        </w:rPr>
        <w:t>ע"פ 8146/09 ‏ ‏</w:t>
      </w:r>
      <w:r w:rsidRPr="001900EA">
        <w:rPr>
          <w:rFonts w:ascii="David" w:hAnsi="David"/>
          <w:b/>
          <w:bCs/>
          <w:rtl/>
        </w:rPr>
        <w:t>אלי אבשלום נ' מדינת ישראל</w:t>
      </w:r>
      <w:r w:rsidRPr="001900EA">
        <w:rPr>
          <w:rFonts w:ascii="David" w:hAnsi="David" w:hint="cs"/>
          <w:rtl/>
        </w:rPr>
        <w:t>, פסקאות 19-21</w:t>
      </w:r>
      <w:r w:rsidRPr="001900EA">
        <w:rPr>
          <w:rFonts w:ascii="David" w:hAnsi="David"/>
          <w:rtl/>
        </w:rPr>
        <w:t xml:space="preserve"> (8.9.2011)</w:t>
      </w:r>
      <w:r>
        <w:rPr>
          <w:rFonts w:ascii="David" w:hAnsi="David" w:hint="cs"/>
          <w:rtl/>
        </w:rPr>
        <w:t>.</w:t>
      </w:r>
    </w:p>
    <w:p w:rsidR="009A3EDE" w:rsidRDefault="009A3EDE" w:rsidP="009A3EDE">
      <w:pPr>
        <w:spacing w:after="120" w:line="360" w:lineRule="auto"/>
        <w:ind w:left="720" w:hanging="720"/>
        <w:jc w:val="both"/>
        <w:rPr>
          <w:rFonts w:ascii="David" w:hAnsi="David"/>
          <w:rtl/>
        </w:rPr>
      </w:pPr>
      <w:r>
        <w:rPr>
          <w:rFonts w:ascii="David" w:hAnsi="David" w:hint="cs"/>
          <w:rtl/>
        </w:rPr>
        <w:t>30.</w:t>
      </w:r>
      <w:r>
        <w:rPr>
          <w:rFonts w:ascii="David" w:hAnsi="David" w:hint="cs"/>
          <w:rtl/>
        </w:rPr>
        <w:tab/>
      </w:r>
      <w:r w:rsidRPr="00691611">
        <w:rPr>
          <w:rFonts w:ascii="David" w:hAnsi="David" w:hint="cs"/>
          <w:u w:val="single"/>
          <w:rtl/>
        </w:rPr>
        <w:t>במקרה דנן ייחס השופט קמא לאם אשם תורם בשיעור של 25% מטעמים שפורטו בפסק הדין וצוטטו בסעיף 13 לעיל, ותמציתם כדלקמן</w:t>
      </w:r>
      <w:r>
        <w:rPr>
          <w:rFonts w:ascii="David" w:hAnsi="David" w:hint="cs"/>
          <w:rtl/>
        </w:rPr>
        <w:t>:</w:t>
      </w:r>
    </w:p>
    <w:p w:rsidR="009A3EDE" w:rsidRDefault="009A3EDE" w:rsidP="00D0669F">
      <w:pPr>
        <w:spacing w:after="120" w:line="360" w:lineRule="auto"/>
        <w:ind w:left="1440" w:hanging="720"/>
        <w:jc w:val="both"/>
        <w:rPr>
          <w:rFonts w:ascii="David" w:hAnsi="David"/>
          <w:rtl/>
        </w:rPr>
      </w:pPr>
      <w:r>
        <w:rPr>
          <w:rFonts w:ascii="David" w:hAnsi="David" w:hint="cs"/>
          <w:rtl/>
        </w:rPr>
        <w:t>א.</w:t>
      </w:r>
      <w:r>
        <w:rPr>
          <w:rFonts w:ascii="David" w:hAnsi="David" w:hint="cs"/>
          <w:rtl/>
        </w:rPr>
        <w:tab/>
        <w:t xml:space="preserve">האם היתה מעורבת בהליכים, ואף יזמה הליכים (שפורטו בהרחבה בפסק הדין), לרבות הליכים שהובילו לאשפוז וטיפול פסיכיאטרי </w:t>
      </w:r>
      <w:r w:rsidR="00D0669F">
        <w:rPr>
          <w:rFonts w:ascii="David" w:hAnsi="David" w:hint="cs"/>
          <w:rtl/>
        </w:rPr>
        <w:t>ל-מ'</w:t>
      </w:r>
      <w:r>
        <w:rPr>
          <w:rFonts w:ascii="David" w:hAnsi="David" w:hint="cs"/>
          <w:rtl/>
        </w:rPr>
        <w:t>, שהגביר הניכור ביניהם;</w:t>
      </w:r>
    </w:p>
    <w:p w:rsidR="009A3EDE" w:rsidRDefault="009A3EDE" w:rsidP="009A3EDE">
      <w:pPr>
        <w:spacing w:after="120" w:line="360" w:lineRule="auto"/>
        <w:ind w:left="1440" w:hanging="720"/>
        <w:jc w:val="both"/>
        <w:rPr>
          <w:rFonts w:ascii="David" w:hAnsi="David"/>
          <w:rtl/>
        </w:rPr>
      </w:pPr>
      <w:r>
        <w:rPr>
          <w:rFonts w:ascii="David" w:hAnsi="David" w:hint="cs"/>
          <w:rtl/>
        </w:rPr>
        <w:t>ב.</w:t>
      </w:r>
      <w:r>
        <w:rPr>
          <w:rFonts w:ascii="David" w:hAnsi="David" w:hint="cs"/>
          <w:rtl/>
        </w:rPr>
        <w:tab/>
        <w:t>האם סירבה להשתתף בחלק מהטיפולים שהומלצו ונקבעו, וכך התנהלה לאורך שנים;</w:t>
      </w:r>
    </w:p>
    <w:p w:rsidR="009A3EDE" w:rsidRDefault="009A3EDE" w:rsidP="00D0669F">
      <w:pPr>
        <w:spacing w:after="120" w:line="360" w:lineRule="auto"/>
        <w:ind w:left="1440" w:hanging="720"/>
        <w:jc w:val="both"/>
        <w:rPr>
          <w:rFonts w:ascii="David" w:hAnsi="David"/>
          <w:rtl/>
        </w:rPr>
      </w:pPr>
      <w:r>
        <w:rPr>
          <w:rFonts w:ascii="David" w:hAnsi="David" w:hint="cs"/>
          <w:rtl/>
        </w:rPr>
        <w:t>ג.</w:t>
      </w:r>
      <w:r>
        <w:rPr>
          <w:rFonts w:ascii="David" w:hAnsi="David" w:hint="cs"/>
          <w:rtl/>
        </w:rPr>
        <w:tab/>
        <w:t xml:space="preserve">על אף הבנת מצוקתה של האם, מדובר בהתנהלות כוחנית במידה מסויימת, שתרמה לניכור שבינה לבין </w:t>
      </w:r>
      <w:r w:rsidR="00D0669F">
        <w:rPr>
          <w:rFonts w:ascii="David" w:hAnsi="David" w:hint="cs"/>
          <w:rtl/>
        </w:rPr>
        <w:t>מ'</w:t>
      </w:r>
      <w:r>
        <w:rPr>
          <w:rFonts w:ascii="David" w:hAnsi="David" w:hint="cs"/>
          <w:rtl/>
        </w:rPr>
        <w:t xml:space="preserve">. </w:t>
      </w:r>
    </w:p>
    <w:p w:rsidR="009A3EDE" w:rsidRDefault="009A3EDE" w:rsidP="005E2EAC">
      <w:pPr>
        <w:spacing w:after="120" w:line="360" w:lineRule="auto"/>
        <w:ind w:left="720" w:hanging="720"/>
        <w:jc w:val="both"/>
        <w:rPr>
          <w:rFonts w:ascii="David" w:hAnsi="David"/>
          <w:rtl/>
        </w:rPr>
      </w:pPr>
      <w:r>
        <w:rPr>
          <w:rFonts w:ascii="David" w:hAnsi="David" w:hint="cs"/>
          <w:rtl/>
        </w:rPr>
        <w:lastRenderedPageBreak/>
        <w:t xml:space="preserve">31. </w:t>
      </w:r>
      <w:r>
        <w:rPr>
          <w:rFonts w:ascii="David" w:hAnsi="David"/>
          <w:rtl/>
        </w:rPr>
        <w:tab/>
      </w:r>
      <w:r w:rsidRPr="00C07AA3">
        <w:rPr>
          <w:rFonts w:ascii="David" w:hAnsi="David" w:hint="cs"/>
          <w:u w:val="single"/>
          <w:rtl/>
        </w:rPr>
        <w:t>בהודעת הערעור מפנה האב לנקודות נוספות</w:t>
      </w:r>
      <w:r>
        <w:rPr>
          <w:rFonts w:ascii="David" w:hAnsi="David" w:hint="cs"/>
          <w:u w:val="single"/>
          <w:rtl/>
        </w:rPr>
        <w:t>,</w:t>
      </w:r>
      <w:r w:rsidRPr="00C07AA3">
        <w:rPr>
          <w:rFonts w:ascii="David" w:hAnsi="David" w:hint="cs"/>
          <w:u w:val="single"/>
          <w:rtl/>
        </w:rPr>
        <w:t xml:space="preserve"> שלטעמו מלמדות כי לאם תרומה משמעותית יותר לניכור ההורי הקיים בינה לבין </w:t>
      </w:r>
      <w:r w:rsidR="005E2EAC">
        <w:rPr>
          <w:rFonts w:ascii="David" w:hAnsi="David" w:hint="cs"/>
          <w:u w:val="single"/>
          <w:rtl/>
        </w:rPr>
        <w:t>מ'</w:t>
      </w:r>
      <w:r w:rsidRPr="00C07AA3">
        <w:rPr>
          <w:rFonts w:ascii="David" w:hAnsi="David" w:hint="cs"/>
          <w:u w:val="single"/>
          <w:rtl/>
        </w:rPr>
        <w:t xml:space="preserve">, </w:t>
      </w:r>
      <w:r>
        <w:rPr>
          <w:rFonts w:ascii="David" w:hAnsi="David" w:hint="cs"/>
          <w:u w:val="single"/>
          <w:rtl/>
        </w:rPr>
        <w:t xml:space="preserve">לה לא נתן בית המשפט משקל כלל או במידה מספקת, </w:t>
      </w:r>
      <w:r w:rsidRPr="00C07AA3">
        <w:rPr>
          <w:rFonts w:ascii="David" w:hAnsi="David" w:hint="cs"/>
          <w:u w:val="single"/>
          <w:rtl/>
        </w:rPr>
        <w:t>כדלקמן</w:t>
      </w:r>
      <w:r>
        <w:rPr>
          <w:rFonts w:ascii="David" w:hAnsi="David" w:hint="cs"/>
          <w:rtl/>
        </w:rPr>
        <w:t>:</w:t>
      </w:r>
    </w:p>
    <w:p w:rsidR="009A3EDE" w:rsidRDefault="009A3EDE" w:rsidP="009A3EDE">
      <w:pPr>
        <w:spacing w:after="120" w:line="360" w:lineRule="auto"/>
        <w:ind w:left="1440" w:hanging="720"/>
        <w:jc w:val="both"/>
        <w:rPr>
          <w:rFonts w:ascii="David" w:hAnsi="David"/>
          <w:rtl/>
        </w:rPr>
      </w:pPr>
      <w:r>
        <w:rPr>
          <w:rFonts w:ascii="David" w:hAnsi="David" w:hint="cs"/>
          <w:rtl/>
        </w:rPr>
        <w:t>א.</w:t>
      </w:r>
      <w:r>
        <w:rPr>
          <w:rFonts w:ascii="David" w:hAnsi="David" w:hint="cs"/>
          <w:rtl/>
        </w:rPr>
        <w:tab/>
        <w:t xml:space="preserve">בדו"ח של פרופ' רובין משנת 2018 עולה, כי </w:t>
      </w:r>
      <w:r w:rsidR="00820F03">
        <w:rPr>
          <w:rFonts w:ascii="David" w:hAnsi="David" w:hint="cs"/>
          <w:rtl/>
        </w:rPr>
        <w:t>מ</w:t>
      </w:r>
      <w:r w:rsidR="00820F03">
        <w:rPr>
          <w:rFonts w:ascii="David" w:hAnsi="David"/>
          <w:rtl/>
        </w:rPr>
        <w:t>'</w:t>
      </w:r>
      <w:r w:rsidR="00820F03">
        <w:rPr>
          <w:rFonts w:ascii="David" w:hAnsi="David" w:hint="cs"/>
          <w:rtl/>
        </w:rPr>
        <w:t xml:space="preserve"> </w:t>
      </w:r>
      <w:r>
        <w:rPr>
          <w:rFonts w:ascii="David" w:hAnsi="David" w:hint="cs"/>
          <w:rtl/>
        </w:rPr>
        <w:t xml:space="preserve">הלין בפניו על התנהגות האם כלפיו, ובמיוחד על כך שבשעת שהותו אצלה, היא צמצמה את המפגשים בינו לבין אביו, ולא אפשרה לו להתקשר עם אביו כשרצה (הדו"ח צורף כנספח 2 להודעת הערעור). </w:t>
      </w:r>
    </w:p>
    <w:p w:rsidR="009A3EDE" w:rsidRDefault="009A3EDE" w:rsidP="005E2EAC">
      <w:pPr>
        <w:spacing w:after="120" w:line="360" w:lineRule="auto"/>
        <w:ind w:left="1440" w:hanging="720"/>
        <w:jc w:val="both"/>
        <w:rPr>
          <w:rFonts w:ascii="David" w:hAnsi="David"/>
          <w:rtl/>
        </w:rPr>
      </w:pPr>
      <w:r>
        <w:rPr>
          <w:rFonts w:ascii="David" w:hAnsi="David" w:hint="cs"/>
          <w:rtl/>
        </w:rPr>
        <w:t>ב.</w:t>
      </w:r>
      <w:r>
        <w:rPr>
          <w:rFonts w:ascii="David" w:hAnsi="David" w:hint="cs"/>
          <w:rtl/>
        </w:rPr>
        <w:tab/>
        <w:t xml:space="preserve">במכתבו של </w:t>
      </w:r>
      <w:r w:rsidR="005E2EAC">
        <w:rPr>
          <w:rFonts w:ascii="David" w:hAnsi="David" w:hint="cs"/>
          <w:rtl/>
        </w:rPr>
        <w:t>מ'</w:t>
      </w:r>
      <w:r>
        <w:rPr>
          <w:rFonts w:ascii="David" w:hAnsi="David" w:hint="cs"/>
          <w:rtl/>
        </w:rPr>
        <w:t>, לאחר שבגר, והוכנס לתיק בית המשפט ביום 5.6.23 באישור בית המשפט (נספח 3), הוא מבהיר את זכרונו על אודות אמו, שמנסה למנוע ממנו קשר עם אביו;</w:t>
      </w:r>
    </w:p>
    <w:p w:rsidR="009A3EDE" w:rsidRDefault="009A3EDE" w:rsidP="009A3EDE">
      <w:pPr>
        <w:spacing w:after="120" w:line="360" w:lineRule="auto"/>
        <w:ind w:left="1440" w:hanging="720"/>
        <w:jc w:val="both"/>
        <w:rPr>
          <w:rFonts w:ascii="David" w:hAnsi="David"/>
          <w:rtl/>
        </w:rPr>
      </w:pPr>
      <w:r>
        <w:rPr>
          <w:rFonts w:ascii="David" w:hAnsi="David" w:hint="cs"/>
          <w:rtl/>
        </w:rPr>
        <w:t>ג.</w:t>
      </w:r>
      <w:r>
        <w:rPr>
          <w:rFonts w:ascii="David" w:hAnsi="David" w:hint="cs"/>
          <w:rtl/>
        </w:rPr>
        <w:tab/>
        <w:t xml:space="preserve">העו"ס לסדרי דין גם העידה על חששותיו של </w:t>
      </w:r>
      <w:r w:rsidR="00820F03">
        <w:rPr>
          <w:rFonts w:ascii="David" w:hAnsi="David" w:hint="cs"/>
          <w:rtl/>
        </w:rPr>
        <w:t>מ</w:t>
      </w:r>
      <w:r w:rsidR="00820F03">
        <w:rPr>
          <w:rFonts w:ascii="David" w:hAnsi="David"/>
          <w:rtl/>
        </w:rPr>
        <w:t>'</w:t>
      </w:r>
      <w:r w:rsidR="00820F03">
        <w:rPr>
          <w:rFonts w:ascii="David" w:hAnsi="David" w:hint="cs"/>
          <w:rtl/>
        </w:rPr>
        <w:t xml:space="preserve"> </w:t>
      </w:r>
      <w:r>
        <w:rPr>
          <w:rFonts w:ascii="David" w:hAnsi="David" w:hint="cs"/>
          <w:rtl/>
        </w:rPr>
        <w:t xml:space="preserve">שמא הקשר עם אביו ינותק (עדותה צורפה כנספח 4 להודעת הערעור). </w:t>
      </w:r>
    </w:p>
    <w:p w:rsidR="009A3EDE" w:rsidRDefault="009A3EDE" w:rsidP="009A3EDE">
      <w:pPr>
        <w:spacing w:after="120" w:line="360" w:lineRule="auto"/>
        <w:ind w:left="1440" w:hanging="720"/>
        <w:jc w:val="both"/>
        <w:rPr>
          <w:rFonts w:ascii="David" w:hAnsi="David"/>
          <w:rtl/>
        </w:rPr>
      </w:pPr>
      <w:r>
        <w:rPr>
          <w:rFonts w:ascii="David" w:hAnsi="David" w:hint="cs"/>
          <w:rtl/>
        </w:rPr>
        <w:t>ד.</w:t>
      </w:r>
      <w:r>
        <w:rPr>
          <w:rFonts w:ascii="David" w:hAnsi="David" w:hint="cs"/>
          <w:rtl/>
        </w:rPr>
        <w:tab/>
      </w:r>
      <w:r w:rsidRPr="0076465B">
        <w:rPr>
          <w:rFonts w:ascii="David" w:hAnsi="David" w:hint="cs"/>
          <w:u w:val="single"/>
          <w:rtl/>
        </w:rPr>
        <w:t xml:space="preserve">בפסק דין בתיק המזונות מיום 20.5.2015 קבע בית המשפט (המותב הקודם, השופט בן ציון ברגר) לענין הגורמים לניכור ההורי שבין </w:t>
      </w:r>
      <w:r w:rsidR="00820F03">
        <w:rPr>
          <w:rFonts w:ascii="David" w:hAnsi="David" w:hint="cs"/>
          <w:u w:val="single"/>
          <w:rtl/>
        </w:rPr>
        <w:t>מ</w:t>
      </w:r>
      <w:r w:rsidR="00820F03">
        <w:rPr>
          <w:rFonts w:ascii="David" w:hAnsi="David"/>
          <w:u w:val="single"/>
          <w:rtl/>
        </w:rPr>
        <w:t>'</w:t>
      </w:r>
      <w:r w:rsidR="00820F03">
        <w:rPr>
          <w:rFonts w:ascii="David" w:hAnsi="David" w:hint="cs"/>
          <w:u w:val="single"/>
          <w:rtl/>
        </w:rPr>
        <w:t xml:space="preserve"> </w:t>
      </w:r>
      <w:r w:rsidRPr="0076465B">
        <w:rPr>
          <w:rFonts w:ascii="David" w:hAnsi="David" w:hint="cs"/>
          <w:u w:val="single"/>
          <w:rtl/>
        </w:rPr>
        <w:t>לאם, כדלקמן</w:t>
      </w:r>
      <w:r>
        <w:rPr>
          <w:rFonts w:ascii="David" w:hAnsi="David" w:hint="cs"/>
          <w:rtl/>
        </w:rPr>
        <w:t>:</w:t>
      </w:r>
    </w:p>
    <w:p w:rsidR="009A3EDE" w:rsidRDefault="009A3EDE" w:rsidP="009A3EDE">
      <w:pPr>
        <w:spacing w:after="120" w:line="360" w:lineRule="auto"/>
        <w:ind w:left="2160" w:right="993" w:firstLine="60"/>
        <w:jc w:val="both"/>
        <w:rPr>
          <w:rFonts w:ascii="David" w:hAnsi="David"/>
          <w:rtl/>
        </w:rPr>
      </w:pPr>
      <w:r>
        <w:rPr>
          <w:rFonts w:ascii="David" w:hAnsi="David" w:hint="cs"/>
          <w:b/>
          <w:bCs/>
          <w:rtl/>
        </w:rPr>
        <w:t xml:space="preserve">"סבורני כי שני ההורים אחראים בהתנהלותם ההדדית זל"ז לנתק אשר נוצר בין האם לבן </w:t>
      </w:r>
      <w:r w:rsidR="00820F03">
        <w:rPr>
          <w:rFonts w:ascii="David" w:hAnsi="David" w:hint="cs"/>
          <w:b/>
          <w:bCs/>
          <w:rtl/>
        </w:rPr>
        <w:t>מ</w:t>
      </w:r>
      <w:r w:rsidR="00820F03">
        <w:rPr>
          <w:rFonts w:ascii="David" w:hAnsi="David"/>
          <w:b/>
          <w:bCs/>
          <w:rtl/>
        </w:rPr>
        <w:t>'</w:t>
      </w:r>
      <w:r w:rsidR="00820F03">
        <w:rPr>
          <w:rFonts w:ascii="David" w:hAnsi="David" w:hint="cs"/>
          <w:b/>
          <w:bCs/>
          <w:rtl/>
        </w:rPr>
        <w:t xml:space="preserve"> </w:t>
      </w:r>
      <w:r>
        <w:rPr>
          <w:rFonts w:ascii="David" w:hAnsi="David" w:hint="cs"/>
          <w:b/>
          <w:bCs/>
          <w:rtl/>
        </w:rPr>
        <w:t xml:space="preserve">ולא ניתן להטיל את האשם על צד אחד בלבד. יחד עם זאת, אין מחלוקת שהאירוע בין הבן </w:t>
      </w:r>
      <w:r w:rsidR="00820F03">
        <w:rPr>
          <w:rFonts w:ascii="David" w:hAnsi="David" w:hint="cs"/>
          <w:b/>
          <w:bCs/>
          <w:rtl/>
        </w:rPr>
        <w:t>מ</w:t>
      </w:r>
      <w:r w:rsidR="00820F03">
        <w:rPr>
          <w:rFonts w:ascii="David" w:hAnsi="David"/>
          <w:b/>
          <w:bCs/>
          <w:rtl/>
        </w:rPr>
        <w:t>'</w:t>
      </w:r>
      <w:r w:rsidR="00820F03">
        <w:rPr>
          <w:rFonts w:ascii="David" w:hAnsi="David" w:hint="cs"/>
          <w:b/>
          <w:bCs/>
          <w:rtl/>
        </w:rPr>
        <w:t xml:space="preserve"> </w:t>
      </w:r>
      <w:r>
        <w:rPr>
          <w:rFonts w:ascii="David" w:hAnsi="David" w:hint="cs"/>
          <w:b/>
          <w:bCs/>
          <w:rtl/>
        </w:rPr>
        <w:t xml:space="preserve">לאימו אירע בעת שהקטין היה בחזקתה ולפיכך, אין להמעיט מתרומתה של האם לאירוע ולקשר בינה לבין הקטין" </w:t>
      </w:r>
      <w:r w:rsidRPr="0076465B">
        <w:rPr>
          <w:rFonts w:ascii="David" w:hAnsi="David" w:hint="cs"/>
          <w:rtl/>
        </w:rPr>
        <w:t xml:space="preserve">(סעיף 29 לפסק הדין </w:t>
      </w:r>
      <w:r w:rsidRPr="0076465B">
        <w:rPr>
          <w:rFonts w:ascii="David" w:hAnsi="David"/>
          <w:rtl/>
        </w:rPr>
        <w:t>–</w:t>
      </w:r>
      <w:r w:rsidRPr="0076465B">
        <w:rPr>
          <w:rFonts w:ascii="David" w:hAnsi="David" w:hint="cs"/>
          <w:rtl/>
        </w:rPr>
        <w:t xml:space="preserve"> צורף כנספח 14 להודעת הערעור)</w:t>
      </w:r>
      <w:r>
        <w:rPr>
          <w:rFonts w:ascii="David" w:hAnsi="David" w:hint="cs"/>
          <w:rtl/>
        </w:rPr>
        <w:t>.</w:t>
      </w:r>
    </w:p>
    <w:p w:rsidR="009A3EDE" w:rsidRDefault="009A3EDE" w:rsidP="009A3EDE">
      <w:pPr>
        <w:spacing w:after="120" w:line="360" w:lineRule="auto"/>
        <w:ind w:left="1440"/>
        <w:jc w:val="both"/>
        <w:rPr>
          <w:rFonts w:ascii="David" w:hAnsi="David"/>
          <w:rtl/>
        </w:rPr>
      </w:pPr>
      <w:r>
        <w:rPr>
          <w:rFonts w:ascii="David" w:hAnsi="David" w:hint="cs"/>
          <w:rtl/>
        </w:rPr>
        <w:t xml:space="preserve">היינו אחריותה של האם לנתק מהבן </w:t>
      </w:r>
      <w:r w:rsidR="00820F03">
        <w:rPr>
          <w:rFonts w:ascii="David" w:hAnsi="David" w:hint="cs"/>
          <w:rtl/>
        </w:rPr>
        <w:t>מ</w:t>
      </w:r>
      <w:r w:rsidR="00820F03">
        <w:rPr>
          <w:rFonts w:ascii="David" w:hAnsi="David"/>
          <w:rtl/>
        </w:rPr>
        <w:t>'</w:t>
      </w:r>
      <w:r w:rsidR="00820F03">
        <w:rPr>
          <w:rFonts w:ascii="David" w:hAnsi="David" w:hint="cs"/>
          <w:rtl/>
        </w:rPr>
        <w:t xml:space="preserve"> </w:t>
      </w:r>
      <w:r>
        <w:rPr>
          <w:rFonts w:ascii="David" w:hAnsi="David" w:hint="cs"/>
          <w:rtl/>
        </w:rPr>
        <w:t xml:space="preserve">שוות ערך לאחריותו של האב </w:t>
      </w:r>
      <w:r>
        <w:rPr>
          <w:rFonts w:ascii="David" w:hAnsi="David"/>
          <w:rtl/>
        </w:rPr>
        <w:t>–</w:t>
      </w:r>
      <w:r>
        <w:rPr>
          <w:rFonts w:ascii="David" w:hAnsi="David" w:hint="cs"/>
          <w:rtl/>
        </w:rPr>
        <w:t xml:space="preserve"> כך אליבא דהמותב הקודם שדן בעניינם של בני הזוג.</w:t>
      </w:r>
    </w:p>
    <w:p w:rsidR="009A3EDE" w:rsidRDefault="009A3EDE" w:rsidP="00C061F7">
      <w:pPr>
        <w:spacing w:after="120" w:line="360" w:lineRule="auto"/>
        <w:ind w:left="1440" w:hanging="720"/>
        <w:jc w:val="both"/>
        <w:rPr>
          <w:rFonts w:ascii="David" w:hAnsi="David"/>
          <w:rtl/>
        </w:rPr>
      </w:pPr>
      <w:r>
        <w:rPr>
          <w:rFonts w:ascii="David" w:hAnsi="David" w:hint="cs"/>
          <w:rtl/>
        </w:rPr>
        <w:t>ה.</w:t>
      </w:r>
      <w:r>
        <w:rPr>
          <w:rFonts w:ascii="David" w:hAnsi="David" w:hint="cs"/>
          <w:rtl/>
        </w:rPr>
        <w:tab/>
        <w:t xml:space="preserve">הליך הנזקקות שיזמה האם, באמצעות פניה לרווחה, הכניס את </w:t>
      </w:r>
      <w:r w:rsidR="00820F03">
        <w:rPr>
          <w:rFonts w:ascii="David" w:hAnsi="David" w:hint="cs"/>
          <w:rtl/>
        </w:rPr>
        <w:t>מ</w:t>
      </w:r>
      <w:r w:rsidR="00820F03">
        <w:rPr>
          <w:rFonts w:ascii="David" w:hAnsi="David"/>
          <w:rtl/>
        </w:rPr>
        <w:t>'</w:t>
      </w:r>
      <w:r w:rsidR="00820F03">
        <w:rPr>
          <w:rFonts w:ascii="David" w:hAnsi="David" w:hint="cs"/>
          <w:rtl/>
        </w:rPr>
        <w:t xml:space="preserve"> </w:t>
      </w:r>
      <w:r>
        <w:rPr>
          <w:rFonts w:ascii="David" w:hAnsi="David" w:hint="cs"/>
          <w:rtl/>
        </w:rPr>
        <w:t xml:space="preserve">בעל כורחו לעין הסערה, והוביל ל"מפגש" הקטין עם שופטת נוער בגיל 13 שנים. כל זאת ללא הצדקה, שהרי בסופו של יום נדחתה בקשת הנזקקות. ברם במסגרת הליך הנזקקות טענה האם, כי היא מצפה שיכריזו על </w:t>
      </w:r>
      <w:r w:rsidR="00820F03">
        <w:rPr>
          <w:rFonts w:ascii="David" w:hAnsi="David" w:hint="cs"/>
          <w:rtl/>
        </w:rPr>
        <w:t>מ</w:t>
      </w:r>
      <w:r w:rsidR="00820F03">
        <w:rPr>
          <w:rFonts w:ascii="David" w:hAnsi="David"/>
          <w:rtl/>
        </w:rPr>
        <w:t>'</w:t>
      </w:r>
      <w:r w:rsidR="00820F03">
        <w:rPr>
          <w:rFonts w:ascii="David" w:hAnsi="David" w:hint="cs"/>
          <w:rtl/>
        </w:rPr>
        <w:t xml:space="preserve"> </w:t>
      </w:r>
      <w:r>
        <w:rPr>
          <w:rFonts w:ascii="David" w:hAnsi="David" w:hint="cs"/>
          <w:rtl/>
        </w:rPr>
        <w:t xml:space="preserve">כקטין נזקק, שכן </w:t>
      </w:r>
      <w:r>
        <w:rPr>
          <w:rFonts w:ascii="David" w:hAnsi="David" w:hint="cs"/>
          <w:b/>
          <w:bCs/>
          <w:rtl/>
        </w:rPr>
        <w:t>"הילד לקח פטיש והיכה אותי בכל הגוף..." (</w:t>
      </w:r>
      <w:r>
        <w:rPr>
          <w:rFonts w:ascii="David" w:hAnsi="David" w:hint="cs"/>
          <w:rtl/>
        </w:rPr>
        <w:t xml:space="preserve">ראו פרו' הדיון בתיק הנזקקות, תנ"ז </w:t>
      </w:r>
      <w:r w:rsidR="00C061F7">
        <w:rPr>
          <w:rFonts w:ascii="David" w:hAnsi="David" w:hint="cs"/>
          <w:rtl/>
        </w:rPr>
        <w:t>00000</w:t>
      </w:r>
      <w:r>
        <w:rPr>
          <w:rFonts w:ascii="David" w:hAnsi="David" w:hint="cs"/>
          <w:rtl/>
        </w:rPr>
        <w:t>-</w:t>
      </w:r>
      <w:r w:rsidR="00C061F7">
        <w:rPr>
          <w:rFonts w:ascii="David" w:hAnsi="David" w:hint="cs"/>
          <w:rtl/>
        </w:rPr>
        <w:t>00</w:t>
      </w:r>
      <w:r>
        <w:rPr>
          <w:rFonts w:ascii="David" w:hAnsi="David" w:hint="cs"/>
          <w:rtl/>
        </w:rPr>
        <w:t xml:space="preserve">-16, ישיבת יום 10.1.2017 עמ' 3 לפרו' </w:t>
      </w:r>
      <w:r>
        <w:rPr>
          <w:rFonts w:ascii="David" w:hAnsi="David"/>
          <w:rtl/>
        </w:rPr>
        <w:t>–</w:t>
      </w:r>
      <w:r>
        <w:rPr>
          <w:rFonts w:ascii="David" w:hAnsi="David" w:hint="cs"/>
          <w:rtl/>
        </w:rPr>
        <w:t xml:space="preserve"> צורף כנספח 16 להודעת הערעור).</w:t>
      </w:r>
    </w:p>
    <w:p w:rsidR="009A3EDE" w:rsidRDefault="009A3EDE" w:rsidP="00A6744A">
      <w:pPr>
        <w:spacing w:after="120" w:line="360" w:lineRule="auto"/>
        <w:ind w:left="1440" w:hanging="720"/>
        <w:jc w:val="both"/>
        <w:rPr>
          <w:rFonts w:ascii="David" w:hAnsi="David"/>
          <w:rtl/>
        </w:rPr>
      </w:pPr>
      <w:r>
        <w:rPr>
          <w:rFonts w:ascii="David" w:hAnsi="David"/>
          <w:rtl/>
        </w:rPr>
        <w:tab/>
      </w:r>
      <w:r>
        <w:rPr>
          <w:rFonts w:ascii="David" w:hAnsi="David" w:hint="cs"/>
          <w:rtl/>
        </w:rPr>
        <w:t xml:space="preserve">לעומת זאת בהליך פלילי שהתנהל נגד האב (ת"פ </w:t>
      </w:r>
      <w:r w:rsidR="00A6744A">
        <w:rPr>
          <w:rFonts w:ascii="David" w:hAnsi="David" w:hint="cs"/>
          <w:rtl/>
        </w:rPr>
        <w:t>00000</w:t>
      </w:r>
      <w:r>
        <w:rPr>
          <w:rFonts w:ascii="David" w:hAnsi="David" w:hint="cs"/>
          <w:rtl/>
        </w:rPr>
        <w:t>-</w:t>
      </w:r>
      <w:r w:rsidR="00A6744A">
        <w:rPr>
          <w:rFonts w:ascii="David" w:hAnsi="David" w:hint="cs"/>
          <w:rtl/>
        </w:rPr>
        <w:t>00</w:t>
      </w:r>
      <w:r>
        <w:rPr>
          <w:rFonts w:ascii="David" w:hAnsi="David" w:hint="cs"/>
          <w:rtl/>
        </w:rPr>
        <w:t xml:space="preserve">-13) חזרה בה האם מדבריה אלה, וציינה כי </w:t>
      </w:r>
      <w:r>
        <w:rPr>
          <w:rFonts w:ascii="David" w:hAnsi="David" w:hint="cs"/>
          <w:b/>
          <w:bCs/>
          <w:rtl/>
        </w:rPr>
        <w:t xml:space="preserve">"אני לא יודעת מי אמר את האמרה הראשונה. אני אומרת לך מה היה. הוא לא הרביץ לי עם הפטיש, אני לקחתי את הפטיש ממנו מהידיים..." </w:t>
      </w:r>
      <w:r>
        <w:rPr>
          <w:rFonts w:ascii="David" w:hAnsi="David" w:hint="cs"/>
          <w:rtl/>
        </w:rPr>
        <w:t xml:space="preserve">(עמ' 16 לפרו' שו' 26-28 </w:t>
      </w:r>
      <w:r>
        <w:rPr>
          <w:rFonts w:ascii="David" w:hAnsi="David"/>
          <w:rtl/>
        </w:rPr>
        <w:t>–</w:t>
      </w:r>
      <w:r>
        <w:rPr>
          <w:rFonts w:ascii="David" w:hAnsi="David" w:hint="cs"/>
          <w:rtl/>
        </w:rPr>
        <w:t xml:space="preserve"> פרו' הדיון הפלילי האמור מיום 1.6.2017 צורף כנספח 17 להודעת הערעור). </w:t>
      </w:r>
    </w:p>
    <w:p w:rsidR="009A3EDE" w:rsidRDefault="009A3EDE" w:rsidP="00A6744A">
      <w:pPr>
        <w:spacing w:after="120" w:line="360" w:lineRule="auto"/>
        <w:ind w:left="1440" w:hanging="720"/>
        <w:jc w:val="both"/>
        <w:rPr>
          <w:rFonts w:ascii="David" w:hAnsi="David"/>
          <w:rtl/>
        </w:rPr>
      </w:pPr>
      <w:r>
        <w:rPr>
          <w:rFonts w:ascii="David" w:hAnsi="David"/>
          <w:rtl/>
        </w:rPr>
        <w:tab/>
      </w:r>
      <w:r>
        <w:rPr>
          <w:rFonts w:ascii="David" w:hAnsi="David" w:hint="cs"/>
          <w:rtl/>
        </w:rPr>
        <w:t xml:space="preserve">כל אלה, אליהם נחשף </w:t>
      </w:r>
      <w:r w:rsidR="00A6744A">
        <w:rPr>
          <w:rFonts w:ascii="David" w:hAnsi="David" w:hint="cs"/>
          <w:rtl/>
        </w:rPr>
        <w:t>מ'</w:t>
      </w:r>
      <w:r>
        <w:rPr>
          <w:rFonts w:ascii="David" w:hAnsi="David" w:hint="cs"/>
          <w:rtl/>
        </w:rPr>
        <w:t xml:space="preserve">, הגבירו את ניתוק הקשר בין </w:t>
      </w:r>
      <w:r w:rsidR="00820F03">
        <w:rPr>
          <w:rFonts w:ascii="David" w:hAnsi="David" w:hint="cs"/>
          <w:rtl/>
        </w:rPr>
        <w:t>מ</w:t>
      </w:r>
      <w:r w:rsidR="00820F03">
        <w:rPr>
          <w:rFonts w:ascii="David" w:hAnsi="David"/>
          <w:rtl/>
        </w:rPr>
        <w:t>'</w:t>
      </w:r>
      <w:r w:rsidR="00820F03">
        <w:rPr>
          <w:rFonts w:ascii="David" w:hAnsi="David" w:hint="cs"/>
          <w:rtl/>
        </w:rPr>
        <w:t xml:space="preserve"> </w:t>
      </w:r>
      <w:r>
        <w:rPr>
          <w:rFonts w:ascii="David" w:hAnsi="David" w:hint="cs"/>
          <w:rtl/>
        </w:rPr>
        <w:t>לאמו, כשלאם אחריות רבה לכך.</w:t>
      </w:r>
    </w:p>
    <w:p w:rsidR="009A3EDE" w:rsidRDefault="009A3EDE" w:rsidP="009A3EDE">
      <w:pPr>
        <w:spacing w:after="120" w:line="360" w:lineRule="auto"/>
        <w:ind w:left="720" w:hanging="720"/>
        <w:jc w:val="both"/>
        <w:rPr>
          <w:rFonts w:ascii="David" w:hAnsi="David"/>
          <w:rtl/>
        </w:rPr>
      </w:pPr>
      <w:r>
        <w:rPr>
          <w:rFonts w:ascii="David" w:hAnsi="David" w:hint="cs"/>
          <w:rtl/>
        </w:rPr>
        <w:t>32.</w:t>
      </w:r>
      <w:r>
        <w:rPr>
          <w:rFonts w:ascii="David" w:hAnsi="David" w:hint="cs"/>
          <w:rtl/>
        </w:rPr>
        <w:tab/>
      </w:r>
      <w:r w:rsidRPr="005B0FCD">
        <w:rPr>
          <w:rFonts w:ascii="David" w:hAnsi="David" w:hint="cs"/>
          <w:u w:val="single"/>
          <w:rtl/>
        </w:rPr>
        <w:t>בתשובתה לערעור</w:t>
      </w:r>
      <w:r>
        <w:rPr>
          <w:rFonts w:ascii="David" w:hAnsi="David" w:hint="cs"/>
          <w:u w:val="single"/>
          <w:rtl/>
        </w:rPr>
        <w:t xml:space="preserve"> ובישיבת הערעור</w:t>
      </w:r>
      <w:r w:rsidRPr="005B0FCD">
        <w:rPr>
          <w:rFonts w:ascii="David" w:hAnsi="David" w:hint="cs"/>
          <w:u w:val="single"/>
          <w:rtl/>
        </w:rPr>
        <w:t xml:space="preserve"> התייחסה האם לטענות האב, כי יש להטיל עליה אשם תורם בשיעור גבויה יותר מזה שנקבע, וציינה כדלקמן</w:t>
      </w:r>
      <w:r>
        <w:rPr>
          <w:rFonts w:ascii="David" w:hAnsi="David" w:hint="cs"/>
          <w:rtl/>
        </w:rPr>
        <w:t>:</w:t>
      </w:r>
    </w:p>
    <w:p w:rsidR="009A3EDE" w:rsidRDefault="009A3EDE" w:rsidP="009A3EDE">
      <w:pPr>
        <w:spacing w:after="120" w:line="360" w:lineRule="auto"/>
        <w:ind w:left="720" w:hanging="720"/>
        <w:jc w:val="both"/>
        <w:rPr>
          <w:rFonts w:ascii="David" w:hAnsi="David"/>
          <w:rtl/>
        </w:rPr>
      </w:pPr>
      <w:r>
        <w:rPr>
          <w:rFonts w:ascii="David" w:hAnsi="David"/>
          <w:rtl/>
        </w:rPr>
        <w:tab/>
      </w:r>
      <w:r>
        <w:rPr>
          <w:rFonts w:ascii="David" w:hAnsi="David" w:hint="cs"/>
          <w:rtl/>
        </w:rPr>
        <w:t>א.</w:t>
      </w:r>
      <w:r>
        <w:rPr>
          <w:rFonts w:ascii="David" w:hAnsi="David" w:hint="cs"/>
          <w:rtl/>
        </w:rPr>
        <w:tab/>
        <w:t>את הליך הנזקקות יזמו רשויות הרווחה ולא האם.</w:t>
      </w:r>
    </w:p>
    <w:p w:rsidR="009A3EDE" w:rsidRDefault="009A3EDE" w:rsidP="009A3EDE">
      <w:pPr>
        <w:spacing w:after="120" w:line="360" w:lineRule="auto"/>
        <w:ind w:left="720" w:hanging="720"/>
        <w:jc w:val="both"/>
        <w:rPr>
          <w:rFonts w:ascii="David" w:hAnsi="David"/>
          <w:rtl/>
        </w:rPr>
      </w:pPr>
      <w:r>
        <w:rPr>
          <w:rFonts w:ascii="David" w:hAnsi="David"/>
          <w:rtl/>
        </w:rPr>
        <w:lastRenderedPageBreak/>
        <w:tab/>
      </w:r>
      <w:r>
        <w:rPr>
          <w:rFonts w:ascii="David" w:hAnsi="David" w:hint="cs"/>
          <w:rtl/>
        </w:rPr>
        <w:t>ב.</w:t>
      </w:r>
      <w:r>
        <w:rPr>
          <w:rFonts w:ascii="David" w:hAnsi="David" w:hint="cs"/>
          <w:rtl/>
        </w:rPr>
        <w:tab/>
        <w:t>האם לא המשיכה בטיפול אצל פרופ' רובין כיוון שלא טיפל בחידוש הקשר או בניכור הקיים.</w:t>
      </w:r>
    </w:p>
    <w:p w:rsidR="009A3EDE" w:rsidRDefault="009A3EDE" w:rsidP="00A6744A">
      <w:pPr>
        <w:spacing w:after="120" w:line="360" w:lineRule="auto"/>
        <w:ind w:left="1440" w:hanging="720"/>
        <w:jc w:val="both"/>
        <w:rPr>
          <w:rFonts w:ascii="David" w:hAnsi="David"/>
          <w:rtl/>
        </w:rPr>
      </w:pPr>
      <w:r>
        <w:rPr>
          <w:rFonts w:ascii="David" w:hAnsi="David" w:hint="cs"/>
          <w:rtl/>
        </w:rPr>
        <w:t>ג.</w:t>
      </w:r>
      <w:r>
        <w:rPr>
          <w:rFonts w:ascii="David" w:hAnsi="David"/>
          <w:rtl/>
        </w:rPr>
        <w:tab/>
      </w:r>
      <w:r>
        <w:rPr>
          <w:rFonts w:ascii="David" w:hAnsi="David" w:hint="cs"/>
          <w:rtl/>
        </w:rPr>
        <w:t xml:space="preserve">אמירתו של השופט בן ציון ברגר בפסק דין בתיק המזונות בדבר אחריות שווה של ההורים לניכור ההורי שבין האם </w:t>
      </w:r>
      <w:r w:rsidR="00A6744A">
        <w:rPr>
          <w:rFonts w:ascii="David" w:hAnsi="David" w:hint="cs"/>
          <w:rtl/>
        </w:rPr>
        <w:t>ל-מ'</w:t>
      </w:r>
      <w:r>
        <w:rPr>
          <w:rFonts w:ascii="David" w:hAnsi="David" w:hint="cs"/>
          <w:rtl/>
        </w:rPr>
        <w:t xml:space="preserve">, נאמרה בתחילת הדרך, ואז </w:t>
      </w:r>
      <w:r>
        <w:rPr>
          <w:rFonts w:ascii="David" w:hAnsi="David" w:hint="cs"/>
          <w:b/>
          <w:bCs/>
          <w:rtl/>
        </w:rPr>
        <w:t xml:space="preserve">"שום דבר לא היה ידוע..." </w:t>
      </w:r>
      <w:r>
        <w:rPr>
          <w:rFonts w:ascii="David" w:hAnsi="David" w:hint="cs"/>
          <w:rtl/>
        </w:rPr>
        <w:t xml:space="preserve">(עמ' 6 לישיבת הערעור, עמ' 6 לפרו' שו' 32-33); </w:t>
      </w:r>
    </w:p>
    <w:p w:rsidR="009A3EDE" w:rsidRDefault="009A3EDE" w:rsidP="009A3EDE">
      <w:pPr>
        <w:spacing w:after="120" w:line="360" w:lineRule="auto"/>
        <w:ind w:left="1440" w:hanging="720"/>
        <w:jc w:val="both"/>
        <w:rPr>
          <w:rFonts w:ascii="David" w:hAnsi="David"/>
          <w:rtl/>
        </w:rPr>
      </w:pPr>
      <w:r>
        <w:rPr>
          <w:rFonts w:ascii="David" w:hAnsi="David" w:hint="cs"/>
          <w:rtl/>
        </w:rPr>
        <w:t>ד.</w:t>
      </w:r>
      <w:r>
        <w:rPr>
          <w:rFonts w:ascii="David" w:hAnsi="David" w:hint="cs"/>
          <w:rtl/>
        </w:rPr>
        <w:tab/>
        <w:t xml:space="preserve">באשר לחזרתה בתיק הפלילי מאמירתה בתיק הנזקקות כי </w:t>
      </w:r>
      <w:r w:rsidR="00820F03">
        <w:rPr>
          <w:rFonts w:ascii="David" w:hAnsi="David" w:hint="cs"/>
          <w:rtl/>
        </w:rPr>
        <w:t>מ</w:t>
      </w:r>
      <w:r w:rsidR="00820F03">
        <w:rPr>
          <w:rFonts w:ascii="David" w:hAnsi="David"/>
          <w:rtl/>
        </w:rPr>
        <w:t>'</w:t>
      </w:r>
      <w:r w:rsidR="00820F03">
        <w:rPr>
          <w:rFonts w:ascii="David" w:hAnsi="David" w:hint="cs"/>
          <w:rtl/>
        </w:rPr>
        <w:t xml:space="preserve"> </w:t>
      </w:r>
      <w:r>
        <w:rPr>
          <w:rFonts w:ascii="David" w:hAnsi="David" w:hint="cs"/>
          <w:rtl/>
        </w:rPr>
        <w:t xml:space="preserve">היכה אותה בפטיש, טענה כי </w:t>
      </w:r>
      <w:r>
        <w:rPr>
          <w:rFonts w:ascii="David" w:hAnsi="David" w:hint="cs"/>
          <w:b/>
          <w:bCs/>
          <w:rtl/>
        </w:rPr>
        <w:t xml:space="preserve">"יתכן שנפלו טעויות" </w:t>
      </w:r>
      <w:r>
        <w:rPr>
          <w:rFonts w:ascii="David" w:hAnsi="David" w:hint="cs"/>
          <w:rtl/>
        </w:rPr>
        <w:t xml:space="preserve">(עמ' 4 לפרו' ישיבת הערעור, שו' 3-5); עם זאת ציין ב"כ האם, כי מרשתו עומדת על טענתה כי הקטין היכה אותה, אך המכות לא היו עם פטיש (עמ' 4 לפרו' ישיבת הערעור שו' 7-9). </w:t>
      </w:r>
    </w:p>
    <w:p w:rsidR="009A3EDE" w:rsidRDefault="009A3EDE" w:rsidP="009A3EDE">
      <w:pPr>
        <w:spacing w:after="120" w:line="360" w:lineRule="auto"/>
        <w:ind w:left="720" w:hanging="720"/>
        <w:jc w:val="both"/>
        <w:rPr>
          <w:rFonts w:ascii="David" w:hAnsi="David"/>
          <w:rtl/>
        </w:rPr>
      </w:pPr>
      <w:r>
        <w:rPr>
          <w:rFonts w:ascii="David" w:hAnsi="David" w:hint="cs"/>
          <w:rtl/>
        </w:rPr>
        <w:t>33.</w:t>
      </w:r>
      <w:r>
        <w:rPr>
          <w:rFonts w:ascii="David" w:hAnsi="David" w:hint="cs"/>
          <w:rtl/>
        </w:rPr>
        <w:tab/>
        <w:t>בחינת הדברים הן לפי המבחן הכפול והן לפי מבחן חלוקת האשמה מובילה למסקנה, כי היתה הצדקה במקרה דנן להטיל על האם/המשיבה אשם תורם, והטיב לנמק זאת השופט קמא בפסק דינו.</w:t>
      </w:r>
    </w:p>
    <w:p w:rsidR="009A3EDE" w:rsidRDefault="009A3EDE" w:rsidP="009A3EDE">
      <w:pPr>
        <w:spacing w:after="120" w:line="360" w:lineRule="auto"/>
        <w:ind w:left="720" w:hanging="720"/>
        <w:jc w:val="both"/>
        <w:rPr>
          <w:rFonts w:ascii="David" w:hAnsi="David"/>
          <w:rtl/>
        </w:rPr>
      </w:pPr>
      <w:r>
        <w:rPr>
          <w:rFonts w:ascii="David" w:hAnsi="David" w:hint="cs"/>
          <w:rtl/>
        </w:rPr>
        <w:t>34.</w:t>
      </w:r>
      <w:r>
        <w:rPr>
          <w:rFonts w:ascii="David" w:hAnsi="David" w:hint="cs"/>
          <w:rtl/>
        </w:rPr>
        <w:tab/>
      </w:r>
      <w:r w:rsidRPr="00B62945">
        <w:rPr>
          <w:rFonts w:ascii="David" w:hAnsi="David" w:hint="cs"/>
          <w:b/>
          <w:bCs/>
          <w:u w:val="single"/>
          <w:rtl/>
        </w:rPr>
        <w:t>יחד עם זאת, שוכנעתי כי המקרה דנן חריג בנסיבותיו, ומצדיק הגדלת שיעור האשם התורם שיש לייחס לאם לשיעור של 40%</w:t>
      </w:r>
      <w:r w:rsidR="00A6744A">
        <w:rPr>
          <w:rFonts w:ascii="David" w:hAnsi="David" w:hint="cs"/>
          <w:b/>
          <w:bCs/>
          <w:u w:val="single"/>
          <w:rtl/>
        </w:rPr>
        <w:t xml:space="preserve"> (במקום 25% אותו קבע השופט קמא), </w:t>
      </w:r>
      <w:r w:rsidRPr="00B62945">
        <w:rPr>
          <w:rFonts w:ascii="David" w:hAnsi="David" w:hint="cs"/>
          <w:b/>
          <w:bCs/>
          <w:u w:val="single"/>
          <w:rtl/>
        </w:rPr>
        <w:t>משני טעמים</w:t>
      </w:r>
      <w:r>
        <w:rPr>
          <w:rFonts w:ascii="David" w:hAnsi="David" w:hint="cs"/>
          <w:b/>
          <w:bCs/>
          <w:u w:val="single"/>
          <w:rtl/>
        </w:rPr>
        <w:t xml:space="preserve"> עיקריים</w:t>
      </w:r>
      <w:r w:rsidRPr="00B62945">
        <w:rPr>
          <w:rFonts w:ascii="David" w:hAnsi="David" w:hint="cs"/>
          <w:b/>
          <w:bCs/>
          <w:u w:val="single"/>
          <w:rtl/>
        </w:rPr>
        <w:t xml:space="preserve"> כדלקמן</w:t>
      </w:r>
      <w:r>
        <w:rPr>
          <w:rFonts w:ascii="David" w:hAnsi="David" w:hint="cs"/>
          <w:rtl/>
        </w:rPr>
        <w:t>:</w:t>
      </w:r>
    </w:p>
    <w:p w:rsidR="009A3EDE" w:rsidRPr="00B95FCB" w:rsidRDefault="009A3EDE" w:rsidP="009A3EDE">
      <w:pPr>
        <w:pStyle w:val="ad"/>
        <w:numPr>
          <w:ilvl w:val="0"/>
          <w:numId w:val="1"/>
        </w:numPr>
        <w:spacing w:after="120" w:line="360" w:lineRule="auto"/>
        <w:contextualSpacing w:val="0"/>
        <w:jc w:val="both"/>
        <w:rPr>
          <w:rFonts w:ascii="David" w:hAnsi="David" w:cs="David"/>
          <w:sz w:val="24"/>
          <w:szCs w:val="24"/>
          <w:rtl/>
        </w:rPr>
      </w:pPr>
      <w:r w:rsidRPr="00B95FCB">
        <w:rPr>
          <w:rFonts w:ascii="David" w:hAnsi="David" w:cs="David" w:hint="cs"/>
          <w:sz w:val="24"/>
          <w:szCs w:val="24"/>
          <w:rtl/>
        </w:rPr>
        <w:t xml:space="preserve">התרשמותו של המותב הקודם בתיק (כב' השופט בן ציון ברגר) בשנת 2015, למעלה משלוש שנים לאחר שהאב יצא מביתו בשנת 2012 (ראו סעיף 7(א) לעיל), </w:t>
      </w:r>
      <w:r w:rsidRPr="00B95FCB">
        <w:rPr>
          <w:rFonts w:ascii="David" w:hAnsi="David" w:cs="David" w:hint="cs"/>
          <w:sz w:val="24"/>
          <w:szCs w:val="24"/>
          <w:u w:val="single"/>
          <w:rtl/>
        </w:rPr>
        <w:t>כשהניכור בין האם ל</w:t>
      </w:r>
      <w:r w:rsidR="00820F03">
        <w:rPr>
          <w:rFonts w:ascii="David" w:hAnsi="David" w:cs="David" w:hint="cs"/>
          <w:sz w:val="24"/>
          <w:szCs w:val="24"/>
          <w:u w:val="single"/>
          <w:rtl/>
        </w:rPr>
        <w:t>מ</w:t>
      </w:r>
      <w:r w:rsidR="00820F03">
        <w:rPr>
          <w:rFonts w:ascii="David" w:hAnsi="David" w:cs="David"/>
          <w:sz w:val="24"/>
          <w:szCs w:val="24"/>
          <w:u w:val="single"/>
          <w:rtl/>
        </w:rPr>
        <w:t>'</w:t>
      </w:r>
      <w:r w:rsidR="00820F03">
        <w:rPr>
          <w:rFonts w:ascii="David" w:hAnsi="David" w:cs="David" w:hint="cs"/>
          <w:sz w:val="24"/>
          <w:szCs w:val="24"/>
          <w:u w:val="single"/>
          <w:rtl/>
        </w:rPr>
        <w:t xml:space="preserve"> </w:t>
      </w:r>
      <w:r w:rsidRPr="00B95FCB">
        <w:rPr>
          <w:rFonts w:ascii="David" w:hAnsi="David" w:cs="David" w:hint="cs"/>
          <w:sz w:val="24"/>
          <w:szCs w:val="24"/>
          <w:u w:val="single"/>
          <w:rtl/>
        </w:rPr>
        <w:t>כבר היה קיים</w:t>
      </w:r>
      <w:r w:rsidRPr="00B95FCB">
        <w:rPr>
          <w:rFonts w:ascii="David" w:hAnsi="David" w:cs="David" w:hint="cs"/>
          <w:sz w:val="24"/>
          <w:szCs w:val="24"/>
          <w:rtl/>
        </w:rPr>
        <w:t xml:space="preserve"> (כך </w:t>
      </w:r>
      <w:r>
        <w:rPr>
          <w:rFonts w:ascii="David" w:hAnsi="David" w:cs="David" w:hint="cs"/>
          <w:sz w:val="24"/>
          <w:szCs w:val="24"/>
          <w:rtl/>
        </w:rPr>
        <w:t>ש</w:t>
      </w:r>
      <w:r w:rsidRPr="00B95FCB">
        <w:rPr>
          <w:rFonts w:ascii="David" w:hAnsi="David" w:cs="David" w:hint="cs"/>
          <w:sz w:val="24"/>
          <w:szCs w:val="24"/>
          <w:rtl/>
        </w:rPr>
        <w:t>אין מדובר בתחילת הדרך כטענת ב"כ המשי</w:t>
      </w:r>
      <w:r>
        <w:rPr>
          <w:rFonts w:ascii="David" w:hAnsi="David" w:cs="David" w:hint="cs"/>
          <w:sz w:val="24"/>
          <w:szCs w:val="24"/>
          <w:rtl/>
        </w:rPr>
        <w:t>בה בפנינו בישיבת הערעור, כמצוין</w:t>
      </w:r>
      <w:r w:rsidRPr="00B95FCB">
        <w:rPr>
          <w:rFonts w:ascii="David" w:hAnsi="David" w:cs="David" w:hint="cs"/>
          <w:sz w:val="24"/>
          <w:szCs w:val="24"/>
          <w:rtl/>
        </w:rPr>
        <w:t xml:space="preserve"> לעיל), כי האחריות לניכור זה מוטלת על שני ההורים כאחד. </w:t>
      </w:r>
      <w:r w:rsidRPr="00B95FCB">
        <w:rPr>
          <w:rFonts w:ascii="David" w:hAnsi="David" w:cs="David" w:hint="cs"/>
          <w:b/>
          <w:bCs/>
          <w:sz w:val="24"/>
          <w:szCs w:val="24"/>
          <w:rtl/>
        </w:rPr>
        <w:t>היינו בחלקים שווים</w:t>
      </w:r>
      <w:r>
        <w:rPr>
          <w:rFonts w:ascii="David" w:hAnsi="David" w:cs="David" w:hint="cs"/>
          <w:sz w:val="24"/>
          <w:szCs w:val="24"/>
          <w:rtl/>
        </w:rPr>
        <w:t>, קשה להמעיט מערכה של התרשמות זאת של המותב הקודם בתיק, שליווה הצדדים, לרבות סוגיית הניכור ההורי, במשך מספר שנים;</w:t>
      </w:r>
    </w:p>
    <w:p w:rsidR="009A3EDE" w:rsidRDefault="009A3EDE" w:rsidP="009A3EDE">
      <w:pPr>
        <w:pStyle w:val="ad"/>
        <w:numPr>
          <w:ilvl w:val="0"/>
          <w:numId w:val="1"/>
        </w:numPr>
        <w:spacing w:after="120" w:line="360" w:lineRule="auto"/>
        <w:contextualSpacing w:val="0"/>
        <w:jc w:val="both"/>
        <w:rPr>
          <w:rFonts w:ascii="David" w:hAnsi="David" w:cs="David"/>
          <w:sz w:val="24"/>
          <w:szCs w:val="24"/>
        </w:rPr>
      </w:pPr>
      <w:r>
        <w:rPr>
          <w:rFonts w:ascii="David" w:hAnsi="David" w:cs="David" w:hint="cs"/>
          <w:sz w:val="24"/>
          <w:szCs w:val="24"/>
          <w:rtl/>
        </w:rPr>
        <w:t xml:space="preserve">הוכח לכאורה כי האם לא אמרה אמת בתיק הנזקקות, על אודות הכאתה בפטיש על ידי </w:t>
      </w:r>
      <w:r w:rsidR="00820F03">
        <w:rPr>
          <w:rFonts w:ascii="David" w:hAnsi="David" w:cs="David" w:hint="cs"/>
          <w:sz w:val="24"/>
          <w:szCs w:val="24"/>
          <w:rtl/>
        </w:rPr>
        <w:t>מ</w:t>
      </w:r>
      <w:r w:rsidR="00820F03">
        <w:rPr>
          <w:rFonts w:ascii="David" w:hAnsi="David" w:cs="David"/>
          <w:sz w:val="24"/>
          <w:szCs w:val="24"/>
          <w:rtl/>
        </w:rPr>
        <w:t>'</w:t>
      </w:r>
      <w:r w:rsidR="00820F03">
        <w:rPr>
          <w:rFonts w:ascii="David" w:hAnsi="David" w:cs="David" w:hint="cs"/>
          <w:sz w:val="24"/>
          <w:szCs w:val="24"/>
          <w:rtl/>
        </w:rPr>
        <w:t xml:space="preserve"> </w:t>
      </w:r>
      <w:r>
        <w:rPr>
          <w:rFonts w:ascii="David" w:hAnsi="David" w:cs="David" w:hint="cs"/>
          <w:sz w:val="24"/>
          <w:szCs w:val="24"/>
          <w:rtl/>
        </w:rPr>
        <w:t>בכל חלקי גופה, אמירה ממנה חזרה בתיק הפלילי (ראו דברינו לעיל).</w:t>
      </w:r>
    </w:p>
    <w:p w:rsidR="009A3EDE" w:rsidRDefault="009A3EDE" w:rsidP="009A3EDE">
      <w:pPr>
        <w:pStyle w:val="ad"/>
        <w:spacing w:after="120" w:line="360" w:lineRule="auto"/>
        <w:ind w:left="1440"/>
        <w:contextualSpacing w:val="0"/>
        <w:jc w:val="both"/>
        <w:rPr>
          <w:rFonts w:ascii="David" w:hAnsi="David" w:cs="David"/>
          <w:sz w:val="24"/>
          <w:szCs w:val="24"/>
          <w:rtl/>
        </w:rPr>
      </w:pPr>
      <w:r>
        <w:rPr>
          <w:rFonts w:ascii="David" w:hAnsi="David" w:cs="David" w:hint="cs"/>
          <w:sz w:val="24"/>
          <w:szCs w:val="24"/>
          <w:rtl/>
        </w:rPr>
        <w:t xml:space="preserve">ודוק </w:t>
      </w:r>
      <w:r>
        <w:rPr>
          <w:rFonts w:ascii="David" w:hAnsi="David" w:cs="David"/>
          <w:sz w:val="24"/>
          <w:szCs w:val="24"/>
          <w:rtl/>
        </w:rPr>
        <w:t>–</w:t>
      </w:r>
      <w:r>
        <w:rPr>
          <w:rFonts w:ascii="David" w:hAnsi="David" w:cs="David" w:hint="cs"/>
          <w:sz w:val="24"/>
          <w:szCs w:val="24"/>
          <w:rtl/>
        </w:rPr>
        <w:t xml:space="preserve"> השופט קמא כבר התרשם, וכך רשם בפסק הדין, כי התנהלותה של האם מול הקטין היתה כוחנית, ותרמה לניכור (ראו סעיף 30(ג) לעיל). ברם סבורני כי השופט התנסח בעדינות בנדון, כשהרושם הלכאורי הוא, שהאם לא היססה לומר </w:t>
      </w:r>
      <w:r w:rsidRPr="00B95FCB">
        <w:rPr>
          <w:rFonts w:ascii="David" w:hAnsi="David" w:cs="David" w:hint="cs"/>
          <w:sz w:val="24"/>
          <w:szCs w:val="24"/>
          <w:u w:val="single"/>
          <w:rtl/>
        </w:rPr>
        <w:t>לא אמת</w:t>
      </w:r>
      <w:r w:rsidRPr="00DF67B0">
        <w:rPr>
          <w:rFonts w:ascii="David" w:hAnsi="David" w:cs="David" w:hint="cs"/>
          <w:sz w:val="24"/>
          <w:szCs w:val="24"/>
          <w:rtl/>
        </w:rPr>
        <w:t xml:space="preserve"> בדבר</w:t>
      </w:r>
      <w:r>
        <w:rPr>
          <w:rFonts w:ascii="David" w:hAnsi="David" w:cs="David" w:hint="cs"/>
          <w:sz w:val="24"/>
          <w:szCs w:val="24"/>
          <w:rtl/>
        </w:rPr>
        <w:t xml:space="preserve"> אלימותו של </w:t>
      </w:r>
      <w:r w:rsidR="00820F03">
        <w:rPr>
          <w:rFonts w:ascii="David" w:hAnsi="David" w:cs="David" w:hint="cs"/>
          <w:sz w:val="24"/>
          <w:szCs w:val="24"/>
          <w:rtl/>
        </w:rPr>
        <w:t>מ</w:t>
      </w:r>
      <w:r w:rsidR="00820F03">
        <w:rPr>
          <w:rFonts w:ascii="David" w:hAnsi="David" w:cs="David"/>
          <w:sz w:val="24"/>
          <w:szCs w:val="24"/>
          <w:rtl/>
        </w:rPr>
        <w:t>'</w:t>
      </w:r>
      <w:r w:rsidR="00820F03">
        <w:rPr>
          <w:rFonts w:ascii="David" w:hAnsi="David" w:cs="David" w:hint="cs"/>
          <w:sz w:val="24"/>
          <w:szCs w:val="24"/>
          <w:rtl/>
        </w:rPr>
        <w:t xml:space="preserve"> </w:t>
      </w:r>
      <w:r>
        <w:rPr>
          <w:rFonts w:ascii="David" w:hAnsi="David" w:cs="David" w:hint="cs"/>
          <w:sz w:val="24"/>
          <w:szCs w:val="24"/>
          <w:rtl/>
        </w:rPr>
        <w:t xml:space="preserve">כלפיה (הכאה בפטיש) בתיק הנזקקות אליו נחשף </w:t>
      </w:r>
      <w:r w:rsidR="00820F03">
        <w:rPr>
          <w:rFonts w:ascii="David" w:hAnsi="David" w:cs="David" w:hint="cs"/>
          <w:sz w:val="24"/>
          <w:szCs w:val="24"/>
          <w:rtl/>
        </w:rPr>
        <w:t>מ</w:t>
      </w:r>
      <w:r w:rsidR="00820F03">
        <w:rPr>
          <w:rFonts w:ascii="David" w:hAnsi="David" w:cs="David"/>
          <w:sz w:val="24"/>
          <w:szCs w:val="24"/>
          <w:rtl/>
        </w:rPr>
        <w:t>'</w:t>
      </w:r>
      <w:r w:rsidR="00820F03">
        <w:rPr>
          <w:rFonts w:ascii="David" w:hAnsi="David" w:cs="David" w:hint="cs"/>
          <w:sz w:val="24"/>
          <w:szCs w:val="24"/>
          <w:rtl/>
        </w:rPr>
        <w:t xml:space="preserve"> </w:t>
      </w:r>
      <w:r>
        <w:rPr>
          <w:rFonts w:ascii="David" w:hAnsi="David" w:cs="David" w:hint="cs"/>
          <w:sz w:val="24"/>
          <w:szCs w:val="24"/>
          <w:rtl/>
        </w:rPr>
        <w:t xml:space="preserve">והיה מעורב בו. זאת במטרה להוביל להכרזת </w:t>
      </w:r>
      <w:r w:rsidR="00820F03">
        <w:rPr>
          <w:rFonts w:ascii="David" w:hAnsi="David" w:cs="David" w:hint="cs"/>
          <w:sz w:val="24"/>
          <w:szCs w:val="24"/>
          <w:rtl/>
        </w:rPr>
        <w:t>מ</w:t>
      </w:r>
      <w:r w:rsidR="00820F03">
        <w:rPr>
          <w:rFonts w:ascii="David" w:hAnsi="David" w:cs="David"/>
          <w:sz w:val="24"/>
          <w:szCs w:val="24"/>
          <w:rtl/>
        </w:rPr>
        <w:t>'</w:t>
      </w:r>
      <w:r w:rsidR="00820F03">
        <w:rPr>
          <w:rFonts w:ascii="David" w:hAnsi="David" w:cs="David" w:hint="cs"/>
          <w:sz w:val="24"/>
          <w:szCs w:val="24"/>
          <w:rtl/>
        </w:rPr>
        <w:t xml:space="preserve"> </w:t>
      </w:r>
      <w:r>
        <w:rPr>
          <w:rFonts w:ascii="David" w:hAnsi="David" w:cs="David" w:hint="cs"/>
          <w:sz w:val="24"/>
          <w:szCs w:val="24"/>
          <w:rtl/>
        </w:rPr>
        <w:t xml:space="preserve">כ"קטין נזקק", על כל המשתמע מכך (ראו סעיף 31(ה) לעיל). </w:t>
      </w:r>
    </w:p>
    <w:p w:rsidR="009A3EDE" w:rsidRDefault="009A3EDE" w:rsidP="00A6744A">
      <w:pPr>
        <w:pStyle w:val="ad"/>
        <w:spacing w:after="120" w:line="360" w:lineRule="auto"/>
        <w:ind w:left="1440"/>
        <w:contextualSpacing w:val="0"/>
        <w:jc w:val="both"/>
        <w:rPr>
          <w:rFonts w:ascii="David" w:hAnsi="David" w:cs="David"/>
          <w:sz w:val="24"/>
          <w:szCs w:val="24"/>
          <w:rtl/>
        </w:rPr>
      </w:pPr>
      <w:r>
        <w:rPr>
          <w:rFonts w:ascii="David" w:hAnsi="David" w:cs="David" w:hint="cs"/>
          <w:sz w:val="24"/>
          <w:szCs w:val="24"/>
          <w:rtl/>
        </w:rPr>
        <w:t xml:space="preserve">עובדה זאת, לה לטעמי לא נתן השופט קמא משקל ראוי, יש בה לתרום יותר ממה שהתרשם השופט קמא כ"תרומתה" של האם לניתוק הקשר בינה לבין בנה </w:t>
      </w:r>
      <w:r w:rsidR="00A6744A">
        <w:rPr>
          <w:rFonts w:ascii="David" w:hAnsi="David" w:cs="David" w:hint="cs"/>
          <w:sz w:val="24"/>
          <w:szCs w:val="24"/>
          <w:rtl/>
        </w:rPr>
        <w:t>מ'</w:t>
      </w:r>
      <w:r>
        <w:rPr>
          <w:rFonts w:ascii="David" w:hAnsi="David" w:cs="David" w:hint="cs"/>
          <w:sz w:val="24"/>
          <w:szCs w:val="24"/>
          <w:rtl/>
        </w:rPr>
        <w:t xml:space="preserve">. </w:t>
      </w:r>
    </w:p>
    <w:p w:rsidR="009A3EDE" w:rsidRDefault="00820F03" w:rsidP="009A3EDE">
      <w:pPr>
        <w:pStyle w:val="ad"/>
        <w:spacing w:after="120" w:line="360" w:lineRule="auto"/>
        <w:ind w:left="1440"/>
        <w:contextualSpacing w:val="0"/>
        <w:jc w:val="both"/>
        <w:rPr>
          <w:rFonts w:ascii="David" w:hAnsi="David" w:cs="David"/>
          <w:sz w:val="24"/>
          <w:szCs w:val="24"/>
          <w:rtl/>
        </w:rPr>
      </w:pPr>
      <w:r>
        <w:rPr>
          <w:rFonts w:ascii="David" w:hAnsi="David" w:cs="David" w:hint="cs"/>
          <w:sz w:val="24"/>
          <w:szCs w:val="24"/>
          <w:rtl/>
        </w:rPr>
        <w:t>מ</w:t>
      </w:r>
      <w:r>
        <w:rPr>
          <w:rFonts w:ascii="David" w:hAnsi="David" w:cs="David"/>
          <w:sz w:val="24"/>
          <w:szCs w:val="24"/>
          <w:rtl/>
        </w:rPr>
        <w:t>'</w:t>
      </w:r>
      <w:r>
        <w:rPr>
          <w:rFonts w:ascii="David" w:hAnsi="David" w:cs="David" w:hint="cs"/>
          <w:sz w:val="24"/>
          <w:szCs w:val="24"/>
          <w:rtl/>
        </w:rPr>
        <w:t xml:space="preserve"> </w:t>
      </w:r>
      <w:r w:rsidR="009A3EDE">
        <w:rPr>
          <w:rFonts w:ascii="David" w:hAnsi="David" w:cs="David" w:hint="cs"/>
          <w:sz w:val="24"/>
          <w:szCs w:val="24"/>
          <w:rtl/>
        </w:rPr>
        <w:t>היה מעורב בתיק הנזקקות, היה מודע לו ולטענות האם נגדו (כפי שאף צוין בהודעת הערעור), שלכאורה כיום אנו יודעים שלפחות בטענת ההכאה בפטיש לא היו מדויקים.</w:t>
      </w:r>
    </w:p>
    <w:p w:rsidR="009A3EDE" w:rsidRDefault="009A3EDE" w:rsidP="00A6744A">
      <w:pPr>
        <w:pStyle w:val="ad"/>
        <w:spacing w:after="120" w:line="360" w:lineRule="auto"/>
        <w:ind w:left="1440"/>
        <w:contextualSpacing w:val="0"/>
        <w:jc w:val="both"/>
        <w:rPr>
          <w:rFonts w:ascii="David" w:hAnsi="David" w:cs="David"/>
          <w:sz w:val="24"/>
          <w:szCs w:val="24"/>
          <w:rtl/>
        </w:rPr>
      </w:pPr>
      <w:r>
        <w:rPr>
          <w:rFonts w:ascii="David" w:hAnsi="David" w:cs="David" w:hint="cs"/>
          <w:sz w:val="24"/>
          <w:szCs w:val="24"/>
          <w:rtl/>
        </w:rPr>
        <w:t xml:space="preserve">ניתן להניח, בלשון עדינה, כי מצב דברים זה לא תרם לשיפור היחסים בין האם </w:t>
      </w:r>
      <w:r w:rsidR="00A6744A">
        <w:rPr>
          <w:rFonts w:ascii="David" w:hAnsi="David" w:cs="David" w:hint="cs"/>
          <w:sz w:val="24"/>
          <w:szCs w:val="24"/>
          <w:rtl/>
        </w:rPr>
        <w:t>ל-מ'</w:t>
      </w:r>
      <w:r>
        <w:rPr>
          <w:rFonts w:ascii="David" w:hAnsi="David" w:cs="David" w:hint="cs"/>
          <w:sz w:val="24"/>
          <w:szCs w:val="24"/>
          <w:rtl/>
        </w:rPr>
        <w:t>, אלא להחמרת או להחרפת יחסים אלה.</w:t>
      </w:r>
    </w:p>
    <w:p w:rsidR="009A3EDE" w:rsidRDefault="009A3EDE" w:rsidP="009A3EDE">
      <w:pPr>
        <w:pStyle w:val="ad"/>
        <w:spacing w:after="120" w:line="360" w:lineRule="auto"/>
        <w:ind w:left="1440"/>
        <w:contextualSpacing w:val="0"/>
        <w:jc w:val="both"/>
        <w:rPr>
          <w:rFonts w:ascii="David" w:hAnsi="David" w:cs="David"/>
          <w:sz w:val="24"/>
          <w:szCs w:val="24"/>
          <w:rtl/>
        </w:rPr>
      </w:pPr>
      <w:r>
        <w:rPr>
          <w:rFonts w:ascii="David" w:hAnsi="David" w:cs="David" w:hint="cs"/>
          <w:sz w:val="24"/>
          <w:szCs w:val="24"/>
          <w:rtl/>
        </w:rPr>
        <w:lastRenderedPageBreak/>
        <w:t xml:space="preserve">התירוץ של המשיבה שנאמר בישיבת הערעור לחזרתה מן הדברים בתיק הפלילי בדבר הכאה בפטיש, כי יתכן שנפלו טעויות וכי בכל מקרה הקטין </w:t>
      </w:r>
      <w:r w:rsidR="00820F03">
        <w:rPr>
          <w:rFonts w:ascii="David" w:hAnsi="David" w:cs="David" w:hint="cs"/>
          <w:sz w:val="24"/>
          <w:szCs w:val="24"/>
          <w:rtl/>
        </w:rPr>
        <w:t>מ</w:t>
      </w:r>
      <w:r w:rsidR="00820F03">
        <w:rPr>
          <w:rFonts w:ascii="David" w:hAnsi="David" w:cs="David"/>
          <w:sz w:val="24"/>
          <w:szCs w:val="24"/>
          <w:rtl/>
        </w:rPr>
        <w:t>'</w:t>
      </w:r>
      <w:r w:rsidR="00820F03">
        <w:rPr>
          <w:rFonts w:ascii="David" w:hAnsi="David" w:cs="David" w:hint="cs"/>
          <w:sz w:val="24"/>
          <w:szCs w:val="24"/>
          <w:rtl/>
        </w:rPr>
        <w:t xml:space="preserve"> </w:t>
      </w:r>
      <w:r>
        <w:rPr>
          <w:rFonts w:ascii="David" w:hAnsi="David" w:cs="David" w:hint="cs"/>
          <w:sz w:val="24"/>
          <w:szCs w:val="24"/>
          <w:rtl/>
        </w:rPr>
        <w:t xml:space="preserve">היכה אותה בכל גופה אך לא בפטיש (ראו לעיל), </w:t>
      </w:r>
      <w:r w:rsidRPr="00F71A96">
        <w:rPr>
          <w:rFonts w:ascii="David" w:hAnsi="David" w:cs="David" w:hint="cs"/>
          <w:sz w:val="24"/>
          <w:szCs w:val="24"/>
          <w:u w:val="single"/>
          <w:rtl/>
        </w:rPr>
        <w:t>לא</w:t>
      </w:r>
      <w:r w:rsidRPr="00F71A96">
        <w:rPr>
          <w:rFonts w:ascii="David" w:hAnsi="David" w:cs="David" w:hint="cs"/>
          <w:sz w:val="24"/>
          <w:szCs w:val="24"/>
          <w:rtl/>
        </w:rPr>
        <w:t xml:space="preserve"> משכנע</w:t>
      </w:r>
      <w:r>
        <w:rPr>
          <w:rFonts w:ascii="David" w:hAnsi="David" w:cs="David" w:hint="cs"/>
          <w:sz w:val="24"/>
          <w:szCs w:val="24"/>
          <w:rtl/>
        </w:rPr>
        <w:t>. זאת מ</w:t>
      </w:r>
      <w:r w:rsidRPr="002F03FF">
        <w:rPr>
          <w:rFonts w:ascii="David" w:hAnsi="David" w:cs="David" w:hint="cs"/>
          <w:sz w:val="24"/>
          <w:szCs w:val="24"/>
          <w:rtl/>
        </w:rPr>
        <w:t>הטעם</w:t>
      </w:r>
      <w:r>
        <w:rPr>
          <w:rFonts w:ascii="David" w:hAnsi="David" w:cs="David" w:hint="cs"/>
          <w:sz w:val="24"/>
          <w:szCs w:val="24"/>
          <w:rtl/>
        </w:rPr>
        <w:t xml:space="preserve"> שאמירת ההכאה בפטיש נאמרה מפיה של האם ונרשמה בפרוטוקול בצורה ברורה, ולא נטען כי הוגשה בקשה לתיקון פרוטוקול. </w:t>
      </w:r>
    </w:p>
    <w:p w:rsidR="009A3EDE" w:rsidRDefault="009A3EDE" w:rsidP="009A3EDE">
      <w:pPr>
        <w:spacing w:after="120" w:line="360" w:lineRule="auto"/>
        <w:ind w:left="720" w:hanging="720"/>
        <w:jc w:val="both"/>
        <w:rPr>
          <w:rFonts w:ascii="David" w:hAnsi="David"/>
          <w:rtl/>
        </w:rPr>
      </w:pPr>
      <w:r>
        <w:rPr>
          <w:rFonts w:ascii="David" w:hAnsi="David" w:hint="cs"/>
          <w:rtl/>
        </w:rPr>
        <w:t>35.</w:t>
      </w:r>
      <w:r>
        <w:rPr>
          <w:rFonts w:ascii="David" w:hAnsi="David" w:hint="cs"/>
          <w:rtl/>
        </w:rPr>
        <w:tab/>
        <w:t xml:space="preserve">במצב דברים זה ניתן לומר כי יש הצדקה להתערבות בשיעור האשם התורם שקבע השופט קמא, ולהגדיל את שיעורו ל-40%. </w:t>
      </w:r>
    </w:p>
    <w:p w:rsidR="009A3EDE" w:rsidRDefault="009A3EDE" w:rsidP="009A3EDE">
      <w:pPr>
        <w:spacing w:after="120" w:line="360" w:lineRule="auto"/>
        <w:ind w:left="720" w:hanging="14"/>
        <w:jc w:val="both"/>
        <w:rPr>
          <w:rFonts w:ascii="David" w:hAnsi="David"/>
          <w:rtl/>
        </w:rPr>
      </w:pPr>
      <w:r>
        <w:rPr>
          <w:rFonts w:ascii="David" w:hAnsi="David" w:hint="cs"/>
          <w:rtl/>
        </w:rPr>
        <w:t xml:space="preserve">אכן, כפי שציינו לעיל </w:t>
      </w:r>
      <w:r w:rsidRPr="00F301FA">
        <w:rPr>
          <w:rFonts w:ascii="David" w:hAnsi="David"/>
          <w:rtl/>
        </w:rPr>
        <w:t>מידת ההפחתה של הפיצוי בשל אשם תורם מסורה לשיקול דעתו של בית המשפט הדן בעניין, והכלל הוא כי ערכאת הערעור אינה נוהגת להתערב בכגון דא אלא במשורה ובמקרים חריגים המצדיקים זאת</w:t>
      </w:r>
      <w:r>
        <w:rPr>
          <w:rFonts w:ascii="David" w:hAnsi="David" w:hint="cs"/>
          <w:rtl/>
        </w:rPr>
        <w:t xml:space="preserve">. ברם במקרה דנן יש הצדקה כאמור להתערבות, שכן לטעמי, בנסיבות דנן, </w:t>
      </w:r>
      <w:r w:rsidRPr="001900EA">
        <w:rPr>
          <w:rFonts w:ascii="David" w:hAnsi="David"/>
          <w:rtl/>
        </w:rPr>
        <w:t>נדרש שינוי עקרוני בהערכה</w:t>
      </w:r>
      <w:r>
        <w:rPr>
          <w:rFonts w:ascii="David" w:hAnsi="David" w:hint="cs"/>
          <w:rtl/>
        </w:rPr>
        <w:t xml:space="preserve">, בעיקר לנוכח </w:t>
      </w:r>
      <w:r w:rsidRPr="00B95FCB">
        <w:rPr>
          <w:rFonts w:ascii="David" w:hAnsi="David" w:hint="cs"/>
          <w:u w:val="single"/>
          <w:rtl/>
        </w:rPr>
        <w:t>אי מתן משקל מספיק</w:t>
      </w:r>
      <w:r>
        <w:rPr>
          <w:rFonts w:ascii="David" w:hAnsi="David" w:hint="cs"/>
          <w:rtl/>
        </w:rPr>
        <w:t xml:space="preserve"> לשתי הנקודות שפירטנו בסעיף 34 לעיל על ידי השופט קמא בקביעת שיעור האשם התורם של האם.</w:t>
      </w:r>
      <w:r w:rsidRPr="001900EA">
        <w:rPr>
          <w:rFonts w:ascii="David" w:hAnsi="David"/>
          <w:rtl/>
        </w:rPr>
        <w:t xml:space="preserve"> </w:t>
      </w:r>
    </w:p>
    <w:p w:rsidR="009A3EDE" w:rsidRDefault="009A3EDE" w:rsidP="009A3EDE">
      <w:pPr>
        <w:spacing w:after="120" w:line="360" w:lineRule="auto"/>
        <w:ind w:left="720" w:hanging="720"/>
        <w:jc w:val="both"/>
        <w:rPr>
          <w:rFonts w:ascii="David" w:hAnsi="David"/>
          <w:rtl/>
        </w:rPr>
      </w:pPr>
      <w:r>
        <w:rPr>
          <w:rFonts w:ascii="David" w:hAnsi="David" w:hint="cs"/>
          <w:rtl/>
        </w:rPr>
        <w:t>36.</w:t>
      </w:r>
      <w:r>
        <w:rPr>
          <w:rFonts w:ascii="David" w:hAnsi="David" w:hint="cs"/>
          <w:rtl/>
        </w:rPr>
        <w:tab/>
        <w:t xml:space="preserve">על כן בכל הקשור לרכיב הערעור בשאלת האשם התורם, אמליץ לחבריי לקבל הערעור באופן חלקי, ולהעמיד  את האשם התורם של האם על שיעור של 40%. </w:t>
      </w:r>
    </w:p>
    <w:p w:rsidR="009A3EDE" w:rsidRDefault="009A3EDE" w:rsidP="009A3EDE">
      <w:pPr>
        <w:spacing w:after="120" w:line="360" w:lineRule="auto"/>
        <w:ind w:left="720" w:hanging="720"/>
        <w:jc w:val="both"/>
        <w:rPr>
          <w:rFonts w:ascii="David" w:hAnsi="David"/>
          <w:rtl/>
        </w:rPr>
      </w:pPr>
    </w:p>
    <w:p w:rsidR="009A3EDE" w:rsidRPr="00D738D5" w:rsidRDefault="009A3EDE" w:rsidP="009A3EDE">
      <w:pPr>
        <w:spacing w:after="120" w:line="360" w:lineRule="auto"/>
        <w:ind w:left="720" w:hanging="720"/>
        <w:jc w:val="both"/>
        <w:rPr>
          <w:rFonts w:ascii="David" w:hAnsi="David"/>
          <w:b/>
          <w:bCs/>
          <w:u w:val="single"/>
          <w:rtl/>
        </w:rPr>
      </w:pPr>
      <w:r w:rsidRPr="00D738D5">
        <w:rPr>
          <w:rFonts w:ascii="David" w:hAnsi="David" w:hint="cs"/>
          <w:b/>
          <w:bCs/>
          <w:u w:val="single"/>
          <w:rtl/>
        </w:rPr>
        <w:t>שיעור הפיצוי</w:t>
      </w:r>
    </w:p>
    <w:p w:rsidR="009A3EDE" w:rsidRDefault="009A3EDE" w:rsidP="009A3EDE">
      <w:pPr>
        <w:spacing w:after="120" w:line="360" w:lineRule="auto"/>
        <w:ind w:left="720" w:hanging="720"/>
        <w:jc w:val="both"/>
        <w:rPr>
          <w:rFonts w:ascii="David" w:hAnsi="David"/>
          <w:rtl/>
        </w:rPr>
      </w:pPr>
      <w:r>
        <w:rPr>
          <w:rFonts w:ascii="David" w:hAnsi="David" w:hint="cs"/>
          <w:rtl/>
        </w:rPr>
        <w:t>37.</w:t>
      </w:r>
      <w:r>
        <w:rPr>
          <w:rFonts w:ascii="David" w:hAnsi="David" w:hint="cs"/>
          <w:rtl/>
        </w:rPr>
        <w:tab/>
        <w:t>השופט קמא העמיד את הפיצוי בנדון, טרם הפחתת האשם התורם, על סך של 220,000 ₪. לאחר הפחתת 25% אשם תורם העמיד השופט קמא את סכום הפיצוי שעל האב לשלם לאם על סך של 165,000 ₪.</w:t>
      </w:r>
    </w:p>
    <w:p w:rsidR="009A3EDE" w:rsidRDefault="009A3EDE" w:rsidP="009A3EDE">
      <w:pPr>
        <w:spacing w:after="120" w:line="360" w:lineRule="auto"/>
        <w:ind w:left="720" w:hanging="720"/>
        <w:jc w:val="both"/>
        <w:rPr>
          <w:rFonts w:ascii="David" w:hAnsi="David"/>
          <w:rtl/>
        </w:rPr>
      </w:pPr>
      <w:r>
        <w:rPr>
          <w:rFonts w:ascii="David" w:hAnsi="David"/>
          <w:rtl/>
        </w:rPr>
        <w:tab/>
      </w:r>
      <w:r>
        <w:rPr>
          <w:rFonts w:ascii="David" w:hAnsi="David" w:hint="cs"/>
          <w:rtl/>
        </w:rPr>
        <w:t xml:space="preserve">תמצית הדברים ונימוקי השופט קמא בקביעת סכום הפיצוי צוינו בסעיף 14 לעיל.  </w:t>
      </w:r>
    </w:p>
    <w:p w:rsidR="009A3EDE" w:rsidRDefault="009A3EDE" w:rsidP="009A3EDE">
      <w:pPr>
        <w:spacing w:after="120" w:line="360" w:lineRule="auto"/>
        <w:ind w:left="720" w:hanging="720"/>
        <w:jc w:val="both"/>
        <w:rPr>
          <w:rFonts w:ascii="David" w:hAnsi="David"/>
          <w:rtl/>
        </w:rPr>
      </w:pPr>
      <w:r>
        <w:rPr>
          <w:rFonts w:ascii="David" w:hAnsi="David" w:hint="cs"/>
          <w:rtl/>
        </w:rPr>
        <w:t>39.</w:t>
      </w:r>
      <w:r>
        <w:rPr>
          <w:rFonts w:ascii="David" w:hAnsi="David"/>
          <w:rtl/>
        </w:rPr>
        <w:tab/>
      </w:r>
      <w:r>
        <w:rPr>
          <w:rFonts w:ascii="David" w:hAnsi="David" w:hint="cs"/>
          <w:rtl/>
        </w:rPr>
        <w:t xml:space="preserve">בקביעת סכום הפיצוי נעזר השופט במספר פסקי דין העוסקים בפיצוי נזיקי בגין ניכור הורי, אותם ציין בסעיף 88 לפסק הדין (אליהם נתייחס להלן), תוך שקבע כי המוטו העולה מהם הוא </w:t>
      </w:r>
      <w:r>
        <w:rPr>
          <w:rFonts w:ascii="David" w:hAnsi="David"/>
          <w:rtl/>
        </w:rPr>
        <w:t>–</w:t>
      </w:r>
      <w:r>
        <w:rPr>
          <w:rFonts w:ascii="David" w:hAnsi="David" w:hint="cs"/>
          <w:rtl/>
        </w:rPr>
        <w:t xml:space="preserve"> </w:t>
      </w:r>
      <w:r>
        <w:rPr>
          <w:rFonts w:ascii="David" w:hAnsi="David" w:hint="cs"/>
          <w:b/>
          <w:bCs/>
          <w:rtl/>
        </w:rPr>
        <w:t>"סכום הפיצוי הנפסק משתנה, (ו)תלוי בנסיבותיו הספציפיות של כל מקרה ומקרה"</w:t>
      </w:r>
      <w:r>
        <w:rPr>
          <w:rFonts w:ascii="David" w:hAnsi="David" w:hint="cs"/>
          <w:rtl/>
        </w:rPr>
        <w:t xml:space="preserve">. </w:t>
      </w:r>
      <w:r w:rsidRPr="00D738D5">
        <w:rPr>
          <w:rFonts w:ascii="David" w:hAnsi="David" w:hint="cs"/>
          <w:u w:val="single"/>
          <w:rtl/>
        </w:rPr>
        <w:t>סבורני כי מוטו זה נכון, ויש לנהוג על פיו</w:t>
      </w:r>
      <w:r>
        <w:rPr>
          <w:rFonts w:ascii="David" w:hAnsi="David" w:hint="cs"/>
          <w:rtl/>
        </w:rPr>
        <w:t xml:space="preserve">. </w:t>
      </w:r>
    </w:p>
    <w:p w:rsidR="009A3EDE" w:rsidRPr="00083106" w:rsidRDefault="009A3EDE" w:rsidP="009A3EDE">
      <w:pPr>
        <w:spacing w:after="120" w:line="360" w:lineRule="auto"/>
        <w:ind w:left="720" w:hanging="720"/>
        <w:jc w:val="both"/>
        <w:rPr>
          <w:rFonts w:ascii="David" w:hAnsi="David"/>
          <w:rtl/>
        </w:rPr>
      </w:pPr>
      <w:r>
        <w:rPr>
          <w:rFonts w:ascii="David" w:hAnsi="David" w:hint="cs"/>
          <w:rtl/>
        </w:rPr>
        <w:t>40.</w:t>
      </w:r>
      <w:r>
        <w:rPr>
          <w:rFonts w:ascii="David" w:hAnsi="David" w:hint="cs"/>
          <w:rtl/>
        </w:rPr>
        <w:tab/>
      </w:r>
      <w:r w:rsidRPr="00083106">
        <w:rPr>
          <w:rFonts w:ascii="David" w:hAnsi="David"/>
          <w:u w:val="single"/>
          <w:rtl/>
        </w:rPr>
        <w:t>הפסיקה שהזכיר השופט קמא בסעיף 88 לפסק הדין והעולה ממנה, הם כדלקמן</w:t>
      </w:r>
      <w:r w:rsidRPr="00083106">
        <w:rPr>
          <w:rFonts w:ascii="David" w:hAnsi="David"/>
          <w:rtl/>
        </w:rPr>
        <w:t>:</w:t>
      </w:r>
    </w:p>
    <w:p w:rsidR="009A3EDE" w:rsidRPr="00083106" w:rsidRDefault="009A3EDE" w:rsidP="009A3EDE">
      <w:pPr>
        <w:spacing w:after="120" w:line="360" w:lineRule="auto"/>
        <w:ind w:firstLine="720"/>
        <w:jc w:val="both"/>
        <w:rPr>
          <w:rFonts w:ascii="David" w:hAnsi="David"/>
          <w:rtl/>
        </w:rPr>
      </w:pPr>
      <w:r w:rsidRPr="00083106">
        <w:rPr>
          <w:rFonts w:ascii="David" w:hAnsi="David"/>
          <w:u w:val="single"/>
          <w:rtl/>
        </w:rPr>
        <w:t xml:space="preserve">תמ"ש (משפחה ירושלים) 6423/02 </w:t>
      </w:r>
      <w:r w:rsidRPr="00083106">
        <w:rPr>
          <w:rFonts w:ascii="David" w:hAnsi="David"/>
          <w:b/>
          <w:bCs/>
          <w:u w:val="single"/>
          <w:rtl/>
        </w:rPr>
        <w:t>א.ל נ' ש.ה</w:t>
      </w:r>
      <w:r w:rsidRPr="00083106">
        <w:rPr>
          <w:rFonts w:ascii="David" w:hAnsi="David"/>
          <w:u w:val="single"/>
          <w:rtl/>
        </w:rPr>
        <w:t xml:space="preserve"> (20.1.2011)</w:t>
      </w:r>
      <w:r w:rsidRPr="00083106">
        <w:rPr>
          <w:rFonts w:ascii="David" w:hAnsi="David"/>
          <w:rtl/>
        </w:rPr>
        <w:t>:</w:t>
      </w:r>
    </w:p>
    <w:p w:rsidR="009A3EDE" w:rsidRPr="00083106" w:rsidRDefault="009A3EDE" w:rsidP="009A3EDE">
      <w:pPr>
        <w:spacing w:after="120" w:line="360" w:lineRule="auto"/>
        <w:ind w:left="720"/>
        <w:jc w:val="both"/>
        <w:rPr>
          <w:rFonts w:ascii="David" w:hAnsi="David"/>
          <w:rtl/>
        </w:rPr>
      </w:pPr>
      <w:r w:rsidRPr="00083106">
        <w:rPr>
          <w:rFonts w:ascii="David" w:hAnsi="David"/>
          <w:rtl/>
        </w:rPr>
        <w:t>האם חויבה בתשלום הפיצוי לאב, לאחר ששוכנע כי היא הגורם העיקרי לסרבנות הקשר של הילדים (תאומים ילידי 1995) עם האב.</w:t>
      </w:r>
    </w:p>
    <w:p w:rsidR="009A3EDE" w:rsidRPr="00083106" w:rsidRDefault="009A3EDE" w:rsidP="009A3EDE">
      <w:pPr>
        <w:spacing w:after="120" w:line="360" w:lineRule="auto"/>
        <w:ind w:left="720"/>
        <w:jc w:val="both"/>
        <w:rPr>
          <w:rFonts w:ascii="David" w:hAnsi="David"/>
          <w:rtl/>
        </w:rPr>
      </w:pPr>
      <w:r w:rsidRPr="00083106">
        <w:rPr>
          <w:rFonts w:ascii="David" w:hAnsi="David"/>
          <w:rtl/>
        </w:rPr>
        <w:t xml:space="preserve">סכום הפיצוי שנקבע הוא בסך 20,000 ₪; </w:t>
      </w:r>
    </w:p>
    <w:p w:rsidR="009A3EDE" w:rsidRPr="00083106" w:rsidRDefault="009A3EDE" w:rsidP="009A3EDE">
      <w:pPr>
        <w:spacing w:after="120" w:line="360" w:lineRule="auto"/>
        <w:ind w:left="720"/>
        <w:jc w:val="both"/>
        <w:rPr>
          <w:rFonts w:ascii="David" w:hAnsi="David"/>
          <w:rtl/>
        </w:rPr>
      </w:pPr>
      <w:r w:rsidRPr="00083106">
        <w:rPr>
          <w:rFonts w:ascii="David" w:hAnsi="David"/>
          <w:rtl/>
        </w:rPr>
        <w:t>האשם התורם של האב (התובע) הועמד על שיעור של 25%, כך שסכום הפיצוי שנקבע הוא 15,000 ₪.</w:t>
      </w:r>
    </w:p>
    <w:p w:rsidR="009A3EDE" w:rsidRPr="00083106" w:rsidRDefault="009A3EDE" w:rsidP="009A3EDE">
      <w:pPr>
        <w:spacing w:after="120" w:line="360" w:lineRule="auto"/>
        <w:ind w:firstLine="720"/>
        <w:jc w:val="both"/>
        <w:rPr>
          <w:rFonts w:ascii="David" w:hAnsi="David"/>
          <w:rtl/>
        </w:rPr>
      </w:pPr>
      <w:r w:rsidRPr="00083106">
        <w:rPr>
          <w:rFonts w:ascii="David" w:hAnsi="David"/>
          <w:u w:val="single"/>
          <w:rtl/>
        </w:rPr>
        <w:t xml:space="preserve">תמ"ש (משפחה ירושלים) 48750-07-12 </w:t>
      </w:r>
      <w:r w:rsidRPr="00083106">
        <w:rPr>
          <w:rFonts w:ascii="David" w:hAnsi="David"/>
          <w:b/>
          <w:bCs/>
          <w:u w:val="single"/>
          <w:rtl/>
        </w:rPr>
        <w:t xml:space="preserve">י. ש נ' צ. כ </w:t>
      </w:r>
      <w:r w:rsidRPr="00083106">
        <w:rPr>
          <w:rFonts w:ascii="David" w:hAnsi="David"/>
          <w:u w:val="single"/>
          <w:rtl/>
        </w:rPr>
        <w:t>(19.2.2014)</w:t>
      </w:r>
      <w:r w:rsidRPr="00083106">
        <w:rPr>
          <w:rFonts w:ascii="David" w:hAnsi="David"/>
          <w:rtl/>
        </w:rPr>
        <w:t>:</w:t>
      </w:r>
    </w:p>
    <w:p w:rsidR="009A3EDE" w:rsidRPr="00083106" w:rsidRDefault="009A3EDE" w:rsidP="009A3EDE">
      <w:pPr>
        <w:spacing w:after="120" w:line="360" w:lineRule="auto"/>
        <w:ind w:left="720"/>
        <w:jc w:val="both"/>
        <w:rPr>
          <w:rFonts w:ascii="David" w:hAnsi="David"/>
          <w:rtl/>
        </w:rPr>
      </w:pPr>
      <w:r w:rsidRPr="00083106">
        <w:rPr>
          <w:rFonts w:ascii="David" w:hAnsi="David"/>
          <w:rtl/>
        </w:rPr>
        <w:t>האב תבע את הורי אשתו לשע</w:t>
      </w:r>
      <w:r w:rsidRPr="00C64940">
        <w:rPr>
          <w:rFonts w:ascii="David" w:hAnsi="David"/>
          <w:rtl/>
        </w:rPr>
        <w:t xml:space="preserve">בר </w:t>
      </w:r>
      <w:r w:rsidRPr="00083106">
        <w:rPr>
          <w:rFonts w:ascii="David" w:hAnsi="David"/>
          <w:rtl/>
        </w:rPr>
        <w:t>(חמו וחמותו) בגין עוולת הרשלנות ו/או עוולת הפרת חובה חקוקה על שמנעו ממנו לראות את ילדיו. נפסק לו פיצוי בסך 50,000 ₪.</w:t>
      </w:r>
    </w:p>
    <w:p w:rsidR="009A3EDE" w:rsidRPr="00083106" w:rsidRDefault="009A3EDE" w:rsidP="009A3EDE">
      <w:pPr>
        <w:spacing w:after="120" w:line="360" w:lineRule="auto"/>
        <w:ind w:firstLine="720"/>
        <w:jc w:val="both"/>
        <w:rPr>
          <w:rFonts w:ascii="David" w:hAnsi="David"/>
          <w:u w:val="single"/>
          <w:rtl/>
        </w:rPr>
      </w:pPr>
      <w:r w:rsidRPr="00083106">
        <w:rPr>
          <w:rFonts w:ascii="David" w:hAnsi="David"/>
          <w:u w:val="single"/>
          <w:rtl/>
        </w:rPr>
        <w:lastRenderedPageBreak/>
        <w:t>עמ"ש (מחוזי ת"א) 63448-06-20‏ ‏</w:t>
      </w:r>
      <w:r w:rsidRPr="00083106">
        <w:rPr>
          <w:rFonts w:ascii="David" w:hAnsi="David"/>
          <w:b/>
          <w:bCs/>
          <w:u w:val="single"/>
          <w:rtl/>
        </w:rPr>
        <w:t>פלונית נ' פלוני</w:t>
      </w:r>
      <w:r w:rsidRPr="00083106">
        <w:rPr>
          <w:rFonts w:ascii="David" w:hAnsi="David"/>
          <w:u w:val="single"/>
          <w:rtl/>
        </w:rPr>
        <w:t xml:space="preserve"> (30.8.2021)</w:t>
      </w:r>
      <w:r w:rsidRPr="00C64940">
        <w:rPr>
          <w:rFonts w:ascii="David" w:hAnsi="David"/>
          <w:rtl/>
        </w:rPr>
        <w:t>:</w:t>
      </w:r>
    </w:p>
    <w:p w:rsidR="009A3EDE" w:rsidRPr="00083106" w:rsidRDefault="009A3EDE" w:rsidP="009A3EDE">
      <w:pPr>
        <w:spacing w:after="120" w:line="360" w:lineRule="auto"/>
        <w:ind w:firstLine="720"/>
        <w:jc w:val="both"/>
        <w:rPr>
          <w:rFonts w:ascii="David" w:hAnsi="David"/>
          <w:rtl/>
        </w:rPr>
      </w:pPr>
      <w:r w:rsidRPr="00083106">
        <w:rPr>
          <w:rFonts w:ascii="David" w:hAnsi="David"/>
          <w:rtl/>
        </w:rPr>
        <w:t>שם נ</w:t>
      </w:r>
      <w:r>
        <w:rPr>
          <w:rFonts w:ascii="David" w:hAnsi="David"/>
          <w:rtl/>
        </w:rPr>
        <w:t>קבע כי האם הסיתה הקטין נגד אביו</w:t>
      </w:r>
      <w:r>
        <w:rPr>
          <w:rFonts w:ascii="David" w:hAnsi="David" w:hint="cs"/>
          <w:rtl/>
        </w:rPr>
        <w:t xml:space="preserve">; </w:t>
      </w:r>
      <w:r w:rsidRPr="00083106">
        <w:rPr>
          <w:rFonts w:ascii="David" w:hAnsi="David"/>
          <w:rtl/>
        </w:rPr>
        <w:t xml:space="preserve">נתבע </w:t>
      </w:r>
      <w:r>
        <w:rPr>
          <w:rFonts w:ascii="David" w:hAnsi="David" w:hint="cs"/>
          <w:rtl/>
        </w:rPr>
        <w:t xml:space="preserve">פיצוי </w:t>
      </w:r>
      <w:r w:rsidRPr="00083106">
        <w:rPr>
          <w:rFonts w:ascii="David" w:hAnsi="David"/>
          <w:rtl/>
        </w:rPr>
        <w:t>גם בגין עוולת הנגישה ועוולת לשון הרע.</w:t>
      </w:r>
    </w:p>
    <w:p w:rsidR="009A3EDE" w:rsidRPr="00083106" w:rsidRDefault="009A3EDE" w:rsidP="009A3EDE">
      <w:pPr>
        <w:spacing w:after="120" w:line="360" w:lineRule="auto"/>
        <w:ind w:firstLine="720"/>
        <w:jc w:val="both"/>
        <w:rPr>
          <w:rFonts w:ascii="David" w:hAnsi="David"/>
          <w:rtl/>
        </w:rPr>
      </w:pPr>
      <w:r w:rsidRPr="00083106">
        <w:rPr>
          <w:rFonts w:ascii="David" w:hAnsi="David"/>
          <w:rtl/>
        </w:rPr>
        <w:t>סך הכל הפיצוי שנפסק היה בשיעור של 150,</w:t>
      </w:r>
      <w:r>
        <w:rPr>
          <w:rFonts w:ascii="David" w:hAnsi="David" w:hint="cs"/>
          <w:rtl/>
        </w:rPr>
        <w:t>0</w:t>
      </w:r>
      <w:r>
        <w:rPr>
          <w:rFonts w:ascii="David" w:hAnsi="David"/>
          <w:rtl/>
        </w:rPr>
        <w:t>00 ₪</w:t>
      </w:r>
      <w:r>
        <w:rPr>
          <w:rFonts w:ascii="David" w:hAnsi="David" w:hint="cs"/>
          <w:rtl/>
        </w:rPr>
        <w:t>.</w:t>
      </w:r>
    </w:p>
    <w:p w:rsidR="009A3EDE" w:rsidRPr="00083106" w:rsidRDefault="009A3EDE" w:rsidP="009A3EDE">
      <w:pPr>
        <w:spacing w:after="120" w:line="360" w:lineRule="auto"/>
        <w:ind w:firstLine="720"/>
        <w:jc w:val="both"/>
        <w:rPr>
          <w:rFonts w:ascii="David" w:hAnsi="David"/>
          <w:rtl/>
        </w:rPr>
      </w:pPr>
      <w:r w:rsidRPr="00083106">
        <w:rPr>
          <w:rFonts w:ascii="David" w:hAnsi="David"/>
          <w:rtl/>
        </w:rPr>
        <w:t>רכיבי הפיצוי בסך כולל של 150,000</w:t>
      </w:r>
      <w:r>
        <w:rPr>
          <w:rFonts w:ascii="David" w:hAnsi="David" w:hint="cs"/>
          <w:rtl/>
        </w:rPr>
        <w:t xml:space="preserve"> ₪</w:t>
      </w:r>
      <w:r w:rsidRPr="00083106">
        <w:rPr>
          <w:rFonts w:ascii="David" w:hAnsi="David"/>
          <w:rtl/>
        </w:rPr>
        <w:t xml:space="preserve"> פורטו כדלקמן:</w:t>
      </w:r>
    </w:p>
    <w:p w:rsidR="009A3EDE" w:rsidRPr="00083106" w:rsidRDefault="009A3EDE" w:rsidP="009A3EDE">
      <w:pPr>
        <w:spacing w:after="120" w:line="360" w:lineRule="auto"/>
        <w:ind w:firstLine="720"/>
        <w:jc w:val="both"/>
        <w:rPr>
          <w:rFonts w:ascii="David" w:hAnsi="David"/>
          <w:rtl/>
        </w:rPr>
      </w:pPr>
      <w:r w:rsidRPr="00083106">
        <w:rPr>
          <w:rFonts w:ascii="David" w:hAnsi="David"/>
          <w:rtl/>
        </w:rPr>
        <w:t xml:space="preserve">הפיצוי בגין </w:t>
      </w:r>
      <w:r w:rsidRPr="00083106">
        <w:rPr>
          <w:rFonts w:ascii="David" w:hAnsi="David"/>
          <w:u w:val="single"/>
          <w:rtl/>
        </w:rPr>
        <w:t>עוולת הנגישה</w:t>
      </w:r>
      <w:r w:rsidRPr="00083106">
        <w:rPr>
          <w:rFonts w:ascii="David" w:hAnsi="David"/>
          <w:rtl/>
        </w:rPr>
        <w:t>, הוא 80,000 ₪.</w:t>
      </w:r>
    </w:p>
    <w:p w:rsidR="009A3EDE" w:rsidRPr="00083106" w:rsidRDefault="009A3EDE" w:rsidP="009A3EDE">
      <w:pPr>
        <w:spacing w:after="120" w:line="360" w:lineRule="auto"/>
        <w:ind w:firstLine="720"/>
        <w:jc w:val="both"/>
        <w:rPr>
          <w:rFonts w:ascii="David" w:hAnsi="David"/>
          <w:rtl/>
        </w:rPr>
      </w:pPr>
      <w:r w:rsidRPr="00083106">
        <w:rPr>
          <w:rFonts w:ascii="David" w:hAnsi="David"/>
          <w:rtl/>
        </w:rPr>
        <w:t xml:space="preserve">הפיצוי בגין </w:t>
      </w:r>
      <w:r w:rsidRPr="00083106">
        <w:rPr>
          <w:rFonts w:ascii="David" w:hAnsi="David"/>
          <w:u w:val="single"/>
          <w:rtl/>
        </w:rPr>
        <w:t>לשון הרע</w:t>
      </w:r>
      <w:r w:rsidRPr="00083106">
        <w:rPr>
          <w:rFonts w:ascii="David" w:hAnsi="David"/>
          <w:rtl/>
        </w:rPr>
        <w:t xml:space="preserve"> הוא 40,000 ₪.</w:t>
      </w:r>
    </w:p>
    <w:p w:rsidR="009A3EDE" w:rsidRPr="00083106" w:rsidRDefault="009A3EDE" w:rsidP="009A3EDE">
      <w:pPr>
        <w:spacing w:after="120" w:line="360" w:lineRule="auto"/>
        <w:ind w:firstLine="720"/>
        <w:jc w:val="both"/>
        <w:rPr>
          <w:rFonts w:ascii="David" w:hAnsi="David"/>
          <w:rtl/>
        </w:rPr>
      </w:pPr>
      <w:r w:rsidRPr="00083106">
        <w:rPr>
          <w:rFonts w:ascii="David" w:hAnsi="David"/>
          <w:rtl/>
        </w:rPr>
        <w:t xml:space="preserve">הפיצוי בגין </w:t>
      </w:r>
      <w:r w:rsidRPr="00083106">
        <w:rPr>
          <w:rFonts w:ascii="David" w:hAnsi="David"/>
          <w:u w:val="single"/>
          <w:rtl/>
        </w:rPr>
        <w:t>ניכור הורי</w:t>
      </w:r>
      <w:r w:rsidRPr="00083106">
        <w:rPr>
          <w:rFonts w:ascii="David" w:hAnsi="David"/>
          <w:rtl/>
        </w:rPr>
        <w:t xml:space="preserve">  - 30,000 ₪. </w:t>
      </w:r>
    </w:p>
    <w:p w:rsidR="009A3EDE" w:rsidRPr="00083106" w:rsidRDefault="009A3EDE" w:rsidP="009A3EDE">
      <w:pPr>
        <w:spacing w:after="120" w:line="360" w:lineRule="auto"/>
        <w:ind w:firstLine="720"/>
        <w:jc w:val="both"/>
        <w:rPr>
          <w:rFonts w:ascii="David" w:hAnsi="David"/>
          <w:rtl/>
        </w:rPr>
      </w:pPr>
      <w:r w:rsidRPr="00083106">
        <w:rPr>
          <w:rFonts w:ascii="David" w:hAnsi="David"/>
          <w:u w:val="single"/>
          <w:rtl/>
        </w:rPr>
        <w:t xml:space="preserve">תלה"מ (משפחה ת"א) 51455-03-17‏ ‏ </w:t>
      </w:r>
      <w:r w:rsidRPr="00083106">
        <w:rPr>
          <w:rFonts w:ascii="David" w:hAnsi="David"/>
          <w:b/>
          <w:bCs/>
          <w:u w:val="single"/>
          <w:rtl/>
        </w:rPr>
        <w:t>נ. א. מ נ' ש. כ</w:t>
      </w:r>
      <w:r w:rsidRPr="00083106">
        <w:rPr>
          <w:rFonts w:ascii="David" w:hAnsi="David"/>
          <w:u w:val="single"/>
          <w:rtl/>
        </w:rPr>
        <w:t xml:space="preserve"> (5.4.2020)</w:t>
      </w:r>
      <w:r w:rsidRPr="00C64940">
        <w:rPr>
          <w:rFonts w:ascii="David" w:hAnsi="David"/>
          <w:rtl/>
        </w:rPr>
        <w:t>:</w:t>
      </w:r>
    </w:p>
    <w:p w:rsidR="009A3EDE" w:rsidRPr="00083106" w:rsidRDefault="009A3EDE" w:rsidP="009A3EDE">
      <w:pPr>
        <w:spacing w:after="120" w:line="360" w:lineRule="auto"/>
        <w:ind w:left="720"/>
        <w:jc w:val="both"/>
        <w:rPr>
          <w:rFonts w:ascii="David" w:hAnsi="David"/>
          <w:rtl/>
        </w:rPr>
      </w:pPr>
      <w:r w:rsidRPr="00083106">
        <w:rPr>
          <w:rFonts w:ascii="David" w:hAnsi="David"/>
          <w:rtl/>
        </w:rPr>
        <w:t xml:space="preserve">נקבע כי הנתבעת עוולה כלפי התובע בעוולת הנגישה, בעוולת לשון הרע, הפרה חובה חקוקה וביהמ"ש הראה כי אף יסודות עוולת הרשלנות מתקיימים. </w:t>
      </w:r>
    </w:p>
    <w:p w:rsidR="009A3EDE" w:rsidRPr="00083106" w:rsidRDefault="009A3EDE" w:rsidP="009A3EDE">
      <w:pPr>
        <w:spacing w:after="120" w:line="360" w:lineRule="auto"/>
        <w:ind w:left="720"/>
        <w:jc w:val="both"/>
        <w:rPr>
          <w:rFonts w:ascii="David" w:hAnsi="David"/>
          <w:rtl/>
        </w:rPr>
      </w:pPr>
      <w:r w:rsidRPr="00083106">
        <w:rPr>
          <w:rFonts w:ascii="David" w:hAnsi="David"/>
          <w:rtl/>
        </w:rPr>
        <w:t>בנוסף ביהמ"ש ציין כי העללת עלילות שווא על-מנת לגרום או להשיג ניכור הורי, או "סתם" נתק בקשר אינה רק עוולה נזיקית, יש בה משום הצדק לתובענה חוזית גם על-פי חוק החוזים (תרופות) בשל הפרת חוזה.</w:t>
      </w:r>
    </w:p>
    <w:p w:rsidR="009A3EDE" w:rsidRPr="00083106" w:rsidRDefault="009A3EDE" w:rsidP="009A3EDE">
      <w:pPr>
        <w:spacing w:after="120" w:line="360" w:lineRule="auto"/>
        <w:ind w:firstLine="720"/>
        <w:jc w:val="both"/>
        <w:rPr>
          <w:rFonts w:ascii="David" w:hAnsi="David"/>
          <w:rtl/>
        </w:rPr>
      </w:pPr>
      <w:r w:rsidRPr="00083106">
        <w:rPr>
          <w:rFonts w:ascii="David" w:hAnsi="David"/>
          <w:rtl/>
        </w:rPr>
        <w:t xml:space="preserve">סך הפיצוי בשל </w:t>
      </w:r>
      <w:r w:rsidRPr="00F2692B">
        <w:rPr>
          <w:rFonts w:ascii="David" w:hAnsi="David"/>
          <w:u w:val="single"/>
          <w:rtl/>
        </w:rPr>
        <w:t>כל</w:t>
      </w:r>
      <w:r w:rsidRPr="00083106">
        <w:rPr>
          <w:rFonts w:ascii="David" w:hAnsi="David"/>
          <w:rtl/>
        </w:rPr>
        <w:t xml:space="preserve"> ראשי הנזק הנ"ל הועמד על 150,000 ₪.</w:t>
      </w:r>
    </w:p>
    <w:p w:rsidR="009A3EDE" w:rsidRPr="00083106" w:rsidRDefault="009A3EDE" w:rsidP="009A3EDE">
      <w:pPr>
        <w:spacing w:after="120" w:line="360" w:lineRule="auto"/>
        <w:ind w:firstLine="720"/>
        <w:jc w:val="both"/>
        <w:rPr>
          <w:rFonts w:ascii="David" w:hAnsi="David"/>
          <w:rtl/>
        </w:rPr>
      </w:pPr>
      <w:r w:rsidRPr="00083106">
        <w:rPr>
          <w:rFonts w:ascii="David" w:hAnsi="David"/>
          <w:u w:val="single"/>
          <w:rtl/>
        </w:rPr>
        <w:t xml:space="preserve">תמ"ש (ת"א) 58854-07-14‏ ‏ </w:t>
      </w:r>
      <w:r w:rsidRPr="00083106">
        <w:rPr>
          <w:rFonts w:ascii="David" w:hAnsi="David"/>
          <w:b/>
          <w:bCs/>
          <w:u w:val="single"/>
          <w:rtl/>
        </w:rPr>
        <w:t>פלוני נ' פלונית</w:t>
      </w:r>
      <w:r w:rsidRPr="00083106">
        <w:rPr>
          <w:rFonts w:ascii="David" w:hAnsi="David"/>
          <w:u w:val="single"/>
          <w:rtl/>
        </w:rPr>
        <w:t xml:space="preserve"> (29.1.2019)</w:t>
      </w:r>
      <w:r w:rsidRPr="00083106">
        <w:rPr>
          <w:rFonts w:ascii="David" w:hAnsi="David"/>
          <w:rtl/>
        </w:rPr>
        <w:t>:</w:t>
      </w:r>
    </w:p>
    <w:p w:rsidR="009A3EDE" w:rsidRPr="00083106" w:rsidRDefault="009A3EDE" w:rsidP="009A3EDE">
      <w:pPr>
        <w:spacing w:after="120" w:line="360" w:lineRule="auto"/>
        <w:ind w:left="720"/>
        <w:jc w:val="both"/>
        <w:rPr>
          <w:rFonts w:ascii="David" w:hAnsi="David"/>
          <w:rtl/>
        </w:rPr>
      </w:pPr>
      <w:r w:rsidRPr="00083106">
        <w:rPr>
          <w:rFonts w:ascii="David" w:hAnsi="David"/>
          <w:rtl/>
        </w:rPr>
        <w:t xml:space="preserve">שם נפסק כי אם יהודייה, שגרמה במעשיה לניכור הורי בין בנה (בן 14 במועד מתן פסה"ד) לבין אביו המוסלמי, על רקע הבדלי הדתות ביניהם ורצונה להסתיר את עברה כמי שנישאה והרתה למוסלמי מעיני הקהילה הדתית אליה בחרה להשתייך, תפצה את האב ב-250,000 ₪. </w:t>
      </w:r>
    </w:p>
    <w:p w:rsidR="009A3EDE" w:rsidRPr="00083106" w:rsidRDefault="009A3EDE" w:rsidP="009A3EDE">
      <w:pPr>
        <w:spacing w:after="120" w:line="360" w:lineRule="auto"/>
        <w:ind w:left="720"/>
        <w:jc w:val="both"/>
        <w:rPr>
          <w:rFonts w:ascii="David" w:hAnsi="David"/>
          <w:rtl/>
        </w:rPr>
      </w:pPr>
      <w:r w:rsidRPr="00083106">
        <w:rPr>
          <w:rFonts w:ascii="David" w:hAnsi="David"/>
          <w:rtl/>
        </w:rPr>
        <w:t xml:space="preserve">בנסיבות המקרה התנהלות האם מקימה שתי עוולות נזיקיות: עוולת הרשלנות ועוולת הפרת חובה חקוקה.  </w:t>
      </w:r>
    </w:p>
    <w:p w:rsidR="009A3EDE" w:rsidRDefault="009A3EDE" w:rsidP="009A3EDE">
      <w:pPr>
        <w:spacing w:after="120" w:line="360" w:lineRule="auto"/>
        <w:jc w:val="both"/>
        <w:rPr>
          <w:rFonts w:ascii="David" w:hAnsi="David"/>
          <w:rtl/>
        </w:rPr>
      </w:pPr>
      <w:r>
        <w:rPr>
          <w:rFonts w:ascii="David" w:hAnsi="David" w:hint="cs"/>
          <w:rtl/>
        </w:rPr>
        <w:t>41</w:t>
      </w:r>
      <w:r w:rsidRPr="00083106">
        <w:rPr>
          <w:rFonts w:ascii="David" w:hAnsi="David"/>
          <w:rtl/>
        </w:rPr>
        <w:t>.</w:t>
      </w:r>
      <w:r w:rsidRPr="00083106">
        <w:rPr>
          <w:rFonts w:ascii="David" w:hAnsi="David"/>
          <w:rtl/>
        </w:rPr>
        <w:tab/>
        <w:t>במסגרת ישיבת הערעור ה</w:t>
      </w:r>
      <w:r>
        <w:rPr>
          <w:rFonts w:ascii="David" w:hAnsi="David" w:hint="cs"/>
          <w:rtl/>
        </w:rPr>
        <w:t xml:space="preserve">זכירה ב"כ האב פסק דין נוסף </w:t>
      </w:r>
      <w:r>
        <w:rPr>
          <w:rFonts w:ascii="David" w:hAnsi="David"/>
          <w:rtl/>
        </w:rPr>
        <w:t>–</w:t>
      </w:r>
      <w:r>
        <w:rPr>
          <w:rFonts w:ascii="David" w:hAnsi="David" w:hint="cs"/>
          <w:rtl/>
        </w:rPr>
        <w:t xml:space="preserve"> תלה"מ 6153-05-23 מיום 6.6.23. </w:t>
      </w:r>
    </w:p>
    <w:p w:rsidR="009A3EDE" w:rsidRPr="00B37F03" w:rsidRDefault="009A3EDE" w:rsidP="009A3EDE">
      <w:pPr>
        <w:spacing w:after="120" w:line="360" w:lineRule="auto"/>
        <w:jc w:val="both"/>
        <w:rPr>
          <w:rFonts w:ascii="David" w:hAnsi="David"/>
          <w:rtl/>
        </w:rPr>
      </w:pPr>
      <w:r>
        <w:rPr>
          <w:rFonts w:ascii="David" w:hAnsi="David"/>
          <w:rtl/>
        </w:rPr>
        <w:tab/>
      </w:r>
      <w:r>
        <w:rPr>
          <w:rFonts w:ascii="David" w:hAnsi="David" w:hint="cs"/>
          <w:rtl/>
        </w:rPr>
        <w:t>שם</w:t>
      </w:r>
      <w:r w:rsidRPr="00B37F03">
        <w:rPr>
          <w:rtl/>
        </w:rPr>
        <w:t xml:space="preserve"> </w:t>
      </w:r>
      <w:r w:rsidRPr="00B37F03">
        <w:rPr>
          <w:rFonts w:ascii="David" w:hAnsi="David"/>
          <w:rtl/>
        </w:rPr>
        <w:t>האב תבע את האם בשל היעדר קשר עם הקטין.</w:t>
      </w:r>
    </w:p>
    <w:p w:rsidR="009A3EDE" w:rsidRPr="00B37F03" w:rsidRDefault="009A3EDE" w:rsidP="009A3EDE">
      <w:pPr>
        <w:spacing w:after="120" w:line="360" w:lineRule="auto"/>
        <w:ind w:left="720"/>
        <w:jc w:val="both"/>
        <w:rPr>
          <w:rFonts w:ascii="David" w:hAnsi="David"/>
          <w:rtl/>
        </w:rPr>
      </w:pPr>
      <w:r w:rsidRPr="00B37F03">
        <w:rPr>
          <w:rFonts w:ascii="David" w:hAnsi="David"/>
          <w:rtl/>
        </w:rPr>
        <w:t>בית המשפט פסק כי האם תשיב לאב סך של 201,600 ₪ בגין ביטול חיוב האב במזונות הבן, החל מיום הנתק (19.8.2020).</w:t>
      </w:r>
    </w:p>
    <w:p w:rsidR="009A3EDE" w:rsidRPr="00B37F03" w:rsidRDefault="009A3EDE" w:rsidP="009A3EDE">
      <w:pPr>
        <w:spacing w:after="120" w:line="360" w:lineRule="auto"/>
        <w:ind w:left="720"/>
        <w:jc w:val="both"/>
        <w:rPr>
          <w:rFonts w:ascii="David" w:hAnsi="David"/>
          <w:rtl/>
        </w:rPr>
      </w:pPr>
      <w:r>
        <w:rPr>
          <w:rFonts w:ascii="David" w:hAnsi="David" w:hint="cs"/>
          <w:rtl/>
        </w:rPr>
        <w:t xml:space="preserve">בנוסף, חייב </w:t>
      </w:r>
      <w:r w:rsidRPr="00B37F03">
        <w:rPr>
          <w:rFonts w:ascii="David" w:hAnsi="David"/>
          <w:rtl/>
        </w:rPr>
        <w:t>בית המשפט את האם לשלם לאב 50,000 ₪ לכל שנת נתק מהקטין, עד הגיעו לבגרות, וסה"כ 250,000 ₪.</w:t>
      </w:r>
    </w:p>
    <w:p w:rsidR="009A3EDE" w:rsidRPr="00B37F03" w:rsidRDefault="009A3EDE" w:rsidP="009A3EDE">
      <w:pPr>
        <w:spacing w:after="120" w:line="360" w:lineRule="auto"/>
        <w:ind w:left="720"/>
        <w:jc w:val="both"/>
        <w:rPr>
          <w:rFonts w:ascii="David" w:hAnsi="David"/>
          <w:rtl/>
        </w:rPr>
      </w:pPr>
      <w:r w:rsidRPr="00B37F03">
        <w:rPr>
          <w:rFonts w:ascii="David" w:hAnsi="David"/>
          <w:rtl/>
        </w:rPr>
        <w:t>נקבע כי האם הפרה חובה חקוקה באי ציותה לצווי בית המשפט שוב ושוב, והפרה בברור את חובתה לתום לב והגינות על פי מה שכיונה בפסה"ד "החוזה המשפחתי".</w:t>
      </w:r>
    </w:p>
    <w:p w:rsidR="009A3EDE" w:rsidRDefault="009A3EDE" w:rsidP="009A3EDE">
      <w:pPr>
        <w:spacing w:after="120" w:line="360" w:lineRule="auto"/>
        <w:ind w:left="720"/>
        <w:jc w:val="both"/>
        <w:rPr>
          <w:rFonts w:ascii="David" w:hAnsi="David"/>
          <w:rtl/>
        </w:rPr>
      </w:pPr>
      <w:r w:rsidRPr="00B37F03">
        <w:rPr>
          <w:rFonts w:ascii="David" w:hAnsi="David"/>
          <w:rtl/>
        </w:rPr>
        <w:t xml:space="preserve">בצמוד לפסיקת הפיצוי צוין כי הגם שהאם עו"ד במקצועה, היא התנהלה בצורה שלא תעלה על הדעת בתיק – סרבנות בוטה ואי ציות להחלטות בית משפט, התנהלות מתריסה (עמדה על ניהול הוכחות ואז לא חקרה </w:t>
      </w:r>
      <w:r w:rsidRPr="00B37F03">
        <w:rPr>
          <w:rFonts w:ascii="David" w:hAnsi="David"/>
          <w:rtl/>
        </w:rPr>
        <w:lastRenderedPageBreak/>
        <w:t>עדים; הגישה סיכומ</w:t>
      </w:r>
      <w:r>
        <w:rPr>
          <w:rFonts w:ascii="David" w:hAnsi="David"/>
          <w:rtl/>
        </w:rPr>
        <w:t>ים בני שורה אחת ולמעשה לא הגישה)</w:t>
      </w:r>
      <w:r>
        <w:rPr>
          <w:rFonts w:ascii="David" w:hAnsi="David" w:hint="cs"/>
          <w:rtl/>
        </w:rPr>
        <w:t xml:space="preserve">, </w:t>
      </w:r>
      <w:r w:rsidRPr="00B37F03">
        <w:rPr>
          <w:rFonts w:ascii="David" w:hAnsi="David"/>
          <w:rtl/>
        </w:rPr>
        <w:t xml:space="preserve">כך שאין לשלול שסכום הפיצוי מגלם בתוכו גם "גמול" על התנהלותה זו של האם מול בית </w:t>
      </w:r>
      <w:r>
        <w:rPr>
          <w:rFonts w:ascii="David" w:hAnsi="David"/>
          <w:rtl/>
        </w:rPr>
        <w:t>המשפט</w:t>
      </w:r>
      <w:r>
        <w:rPr>
          <w:rFonts w:ascii="David" w:hAnsi="David" w:hint="cs"/>
          <w:rtl/>
        </w:rPr>
        <w:t>.</w:t>
      </w:r>
    </w:p>
    <w:p w:rsidR="009A3EDE" w:rsidRDefault="009A3EDE" w:rsidP="009A3EDE">
      <w:pPr>
        <w:spacing w:after="120" w:line="360" w:lineRule="auto"/>
        <w:ind w:left="720" w:hanging="720"/>
        <w:jc w:val="both"/>
        <w:rPr>
          <w:rFonts w:ascii="David" w:hAnsi="David"/>
          <w:rtl/>
        </w:rPr>
      </w:pPr>
      <w:r>
        <w:rPr>
          <w:rFonts w:ascii="David" w:hAnsi="David" w:hint="cs"/>
          <w:rtl/>
        </w:rPr>
        <w:t>42.</w:t>
      </w:r>
      <w:r>
        <w:rPr>
          <w:rFonts w:ascii="David" w:hAnsi="David" w:hint="cs"/>
          <w:rtl/>
        </w:rPr>
        <w:tab/>
        <w:t xml:space="preserve">במצב דברים זה טען האב בהודעת הערעור, כי נסיבות המקרה דנן אינן מצדיקות פסיקת סכום פיצוי כה גבוה, בשיעור של 220,000 ₪, שהינם ברף העליון של סכומי הפיצוי שנקבעו בפסיקה. </w:t>
      </w:r>
    </w:p>
    <w:p w:rsidR="009A3EDE" w:rsidRDefault="009A3EDE" w:rsidP="009A3EDE">
      <w:pPr>
        <w:spacing w:after="120" w:line="360" w:lineRule="auto"/>
        <w:ind w:left="720" w:hanging="720"/>
        <w:jc w:val="both"/>
        <w:rPr>
          <w:rFonts w:ascii="David" w:hAnsi="David"/>
          <w:rtl/>
        </w:rPr>
      </w:pPr>
      <w:r>
        <w:rPr>
          <w:rFonts w:ascii="David" w:hAnsi="David"/>
          <w:rtl/>
        </w:rPr>
        <w:tab/>
      </w:r>
      <w:r>
        <w:rPr>
          <w:rFonts w:ascii="David" w:hAnsi="David" w:hint="cs"/>
          <w:rtl/>
        </w:rPr>
        <w:t xml:space="preserve">האם בתשובתה טוענת כי יש לדחות את טענות האב לעניין שיעור הפיצוי, שהינו הולם את חומרת הנסיבות דנן. </w:t>
      </w:r>
    </w:p>
    <w:p w:rsidR="009A3EDE" w:rsidRDefault="009A3EDE" w:rsidP="009A3EDE">
      <w:pPr>
        <w:spacing w:after="120" w:line="360" w:lineRule="auto"/>
        <w:ind w:left="720" w:hanging="720"/>
        <w:jc w:val="both"/>
        <w:rPr>
          <w:rFonts w:ascii="David" w:hAnsi="David"/>
          <w:rtl/>
        </w:rPr>
      </w:pPr>
      <w:r>
        <w:rPr>
          <w:rFonts w:ascii="David" w:hAnsi="David"/>
          <w:rtl/>
        </w:rPr>
        <w:tab/>
      </w:r>
      <w:r>
        <w:rPr>
          <w:rFonts w:ascii="David" w:hAnsi="David" w:hint="cs"/>
          <w:rtl/>
        </w:rPr>
        <w:t>ראה תמצית טענות הצדדים לעיל.</w:t>
      </w:r>
    </w:p>
    <w:p w:rsidR="009A3EDE" w:rsidRDefault="009A3EDE" w:rsidP="009A3EDE">
      <w:pPr>
        <w:spacing w:after="120" w:line="360" w:lineRule="auto"/>
        <w:ind w:left="720" w:hanging="720"/>
        <w:jc w:val="both"/>
        <w:rPr>
          <w:rFonts w:ascii="David" w:hAnsi="David"/>
          <w:rtl/>
        </w:rPr>
      </w:pPr>
      <w:r>
        <w:rPr>
          <w:rFonts w:ascii="David" w:hAnsi="David" w:hint="cs"/>
          <w:rtl/>
        </w:rPr>
        <w:t>43.</w:t>
      </w:r>
      <w:r>
        <w:rPr>
          <w:rFonts w:ascii="David" w:hAnsi="David" w:hint="cs"/>
          <w:rtl/>
        </w:rPr>
        <w:tab/>
        <w:t xml:space="preserve">היות שהמוטו העולה מהפסיקה הוא </w:t>
      </w:r>
      <w:r>
        <w:rPr>
          <w:rFonts w:ascii="David" w:hAnsi="David"/>
          <w:rtl/>
        </w:rPr>
        <w:t>–</w:t>
      </w:r>
      <w:r>
        <w:rPr>
          <w:rFonts w:ascii="David" w:hAnsi="David" w:hint="cs"/>
          <w:rtl/>
        </w:rPr>
        <w:t xml:space="preserve"> שסכום הפיצוי אמור להיקבע בהתאם לנסיבות המקרה דנן, שוכנעתי כי במקרה דנן ראוי להעמיד את סכום הפיצוי (טרם הפחתת האשם התורם) על שיעור של 150,000 ₪. </w:t>
      </w:r>
    </w:p>
    <w:p w:rsidR="009A3EDE" w:rsidRDefault="009A3EDE" w:rsidP="009A3EDE">
      <w:pPr>
        <w:spacing w:after="120" w:line="360" w:lineRule="auto"/>
        <w:ind w:left="720" w:hanging="720"/>
        <w:jc w:val="both"/>
        <w:rPr>
          <w:rFonts w:ascii="David" w:hAnsi="David"/>
          <w:rtl/>
        </w:rPr>
      </w:pPr>
      <w:r>
        <w:rPr>
          <w:rFonts w:ascii="David" w:hAnsi="David"/>
          <w:rtl/>
        </w:rPr>
        <w:tab/>
      </w:r>
      <w:r>
        <w:rPr>
          <w:rFonts w:ascii="David" w:hAnsi="David" w:hint="cs"/>
          <w:rtl/>
        </w:rPr>
        <w:t>אבהיר הדברים;</w:t>
      </w:r>
    </w:p>
    <w:p w:rsidR="009A3EDE" w:rsidRDefault="009A3EDE" w:rsidP="009A3EDE">
      <w:pPr>
        <w:spacing w:after="120" w:line="360" w:lineRule="auto"/>
        <w:ind w:left="720" w:hanging="720"/>
        <w:jc w:val="both"/>
        <w:rPr>
          <w:rFonts w:ascii="David" w:hAnsi="David"/>
          <w:rtl/>
        </w:rPr>
      </w:pPr>
      <w:r>
        <w:rPr>
          <w:rFonts w:ascii="David" w:hAnsi="David" w:hint="cs"/>
          <w:rtl/>
        </w:rPr>
        <w:t>44.</w:t>
      </w:r>
      <w:r>
        <w:rPr>
          <w:rFonts w:ascii="David" w:hAnsi="David" w:hint="cs"/>
          <w:rtl/>
        </w:rPr>
        <w:tab/>
        <w:t>עיון בפסיקה שהזכיר השופט קמא, למעט האחרון, לא חרגו מסכום של 150,000 ₪ (למעשה השלושה הראשונים היו רחוקים מהסכום הנ"ל).</w:t>
      </w:r>
    </w:p>
    <w:p w:rsidR="009A3EDE" w:rsidRDefault="009A3EDE" w:rsidP="009A3EDE">
      <w:pPr>
        <w:spacing w:after="120" w:line="360" w:lineRule="auto"/>
        <w:ind w:left="720"/>
        <w:jc w:val="both"/>
        <w:rPr>
          <w:rFonts w:ascii="David" w:hAnsi="David"/>
          <w:rtl/>
        </w:rPr>
      </w:pPr>
      <w:r>
        <w:rPr>
          <w:rFonts w:ascii="David" w:hAnsi="David" w:hint="cs"/>
          <w:rtl/>
        </w:rPr>
        <w:t xml:space="preserve">פסק הדין לפני אחרון שהוזכר על ידי השופט קמא אכן פסק פיצוי בשיעור של 150,000 ₪, אך שם גם נוספה עוולת הנגישה, ועסקינן בנסיבות חמורות הכוללות העללת עלילות. </w:t>
      </w:r>
    </w:p>
    <w:p w:rsidR="009A3EDE" w:rsidRDefault="009A3EDE" w:rsidP="009A3EDE">
      <w:pPr>
        <w:spacing w:after="120" w:line="360" w:lineRule="auto"/>
        <w:ind w:left="720"/>
        <w:jc w:val="both"/>
        <w:rPr>
          <w:rFonts w:ascii="David" w:hAnsi="David"/>
          <w:rtl/>
        </w:rPr>
      </w:pPr>
      <w:r>
        <w:rPr>
          <w:rFonts w:ascii="David" w:hAnsi="David" w:hint="cs"/>
          <w:rtl/>
        </w:rPr>
        <w:t>פסק הדין האחרון שהוזכר על ידי השופט קמא אכן פסק פיצוי של 250,000 ₪, אך שם עסקינן בנסיבות מיוחדות כמפורט לעיל, שלימדו על חומרת הניכור מטעמי דת.</w:t>
      </w:r>
    </w:p>
    <w:p w:rsidR="009A3EDE" w:rsidRDefault="009A3EDE" w:rsidP="009A3EDE">
      <w:pPr>
        <w:spacing w:after="120" w:line="360" w:lineRule="auto"/>
        <w:ind w:left="720"/>
        <w:jc w:val="both"/>
        <w:rPr>
          <w:rFonts w:ascii="David" w:hAnsi="David"/>
          <w:rtl/>
        </w:rPr>
      </w:pPr>
      <w:r>
        <w:rPr>
          <w:rFonts w:ascii="David" w:hAnsi="David" w:hint="cs"/>
          <w:rtl/>
        </w:rPr>
        <w:t xml:space="preserve">פסק הדין הנוסף שהוזכר על ידי ב"כ האב (ראו סעיף 41 לעיל), בו גם נפסק פיצוי בשיעור של 250,000 </w:t>
      </w:r>
      <w:r w:rsidR="00A6744A">
        <w:rPr>
          <w:rFonts w:ascii="David" w:hAnsi="David" w:hint="cs"/>
          <w:rtl/>
        </w:rPr>
        <w:t xml:space="preserve">₪ </w:t>
      </w:r>
      <w:r>
        <w:rPr>
          <w:rFonts w:ascii="David" w:hAnsi="David" w:hint="cs"/>
          <w:rtl/>
        </w:rPr>
        <w:t xml:space="preserve">בגין ניכור הורי, נסיבותיו מלמדות לכאורה על התנהגות חמורה של האם (המסיתה) גם לאורך ההליך המשפטי עצמו (עורכת דין במקצועה) ש"תרמה" לסכום הפיצוי שהושת עליה. </w:t>
      </w:r>
    </w:p>
    <w:p w:rsidR="009A3EDE" w:rsidRDefault="009A3EDE" w:rsidP="009A3EDE">
      <w:pPr>
        <w:spacing w:after="120" w:line="360" w:lineRule="auto"/>
        <w:ind w:left="720" w:hanging="720"/>
        <w:jc w:val="both"/>
        <w:rPr>
          <w:rFonts w:ascii="David" w:hAnsi="David"/>
          <w:rtl/>
        </w:rPr>
      </w:pPr>
      <w:r>
        <w:rPr>
          <w:rFonts w:ascii="David" w:hAnsi="David" w:hint="cs"/>
          <w:rtl/>
        </w:rPr>
        <w:t>45.</w:t>
      </w:r>
      <w:r>
        <w:rPr>
          <w:rFonts w:ascii="David" w:hAnsi="David" w:hint="cs"/>
          <w:rtl/>
        </w:rPr>
        <w:tab/>
        <w:t xml:space="preserve">מצב דברים זה שכנעני להמליץ לחבריי, כי הנסיבות דנן כמפורט בפסק הדין קמא ואף בפסק דין זה, אינן מצדיקות לפסוק סכום פיצוי לחובת האב בשיעור העולה על 150,000 ₪, </w:t>
      </w:r>
      <w:r w:rsidRPr="00A03134">
        <w:rPr>
          <w:rFonts w:ascii="David" w:hAnsi="David" w:hint="cs"/>
          <w:u w:val="single"/>
          <w:rtl/>
        </w:rPr>
        <w:t>שגם הוא אינו על הרף הנמוך</w:t>
      </w:r>
      <w:r>
        <w:rPr>
          <w:rFonts w:ascii="David" w:hAnsi="David" w:hint="cs"/>
          <w:rtl/>
        </w:rPr>
        <w:t xml:space="preserve">. </w:t>
      </w:r>
    </w:p>
    <w:p w:rsidR="009A3EDE" w:rsidRDefault="009A3EDE" w:rsidP="009A3EDE">
      <w:pPr>
        <w:spacing w:after="120" w:line="360" w:lineRule="auto"/>
        <w:ind w:left="720" w:hanging="720"/>
        <w:jc w:val="both"/>
        <w:rPr>
          <w:rFonts w:ascii="David" w:hAnsi="David"/>
          <w:rtl/>
        </w:rPr>
      </w:pPr>
      <w:r>
        <w:rPr>
          <w:rFonts w:ascii="David" w:hAnsi="David" w:hint="cs"/>
          <w:rtl/>
        </w:rPr>
        <w:t>46.</w:t>
      </w:r>
      <w:r>
        <w:rPr>
          <w:rFonts w:ascii="David" w:hAnsi="David" w:hint="cs"/>
          <w:rtl/>
        </w:rPr>
        <w:tab/>
        <w:t xml:space="preserve">במצב דברים זה אמליץ לחבריי לקבל הערעור ברכיב ערעור זה הנוגע לסכום הפיצוי, ולקבוע כי סכום הפיצוי (טרם הפחתת האשם התורם) יעמוד על סך של 150,000 ₪ (תחת הסכום של 220,000 ₪ שפסק השופט קמא בפסק הדין). </w:t>
      </w:r>
    </w:p>
    <w:p w:rsidR="009A3EDE" w:rsidRDefault="009A3EDE" w:rsidP="009A3EDE">
      <w:pPr>
        <w:spacing w:after="120" w:line="360" w:lineRule="auto"/>
        <w:ind w:left="720" w:hanging="720"/>
        <w:jc w:val="both"/>
        <w:rPr>
          <w:rFonts w:ascii="David" w:hAnsi="David"/>
          <w:rtl/>
        </w:rPr>
      </w:pPr>
    </w:p>
    <w:p w:rsidR="009A3EDE" w:rsidRPr="00EB6C0B" w:rsidRDefault="009A3EDE" w:rsidP="009A3EDE">
      <w:pPr>
        <w:spacing w:after="120" w:line="360" w:lineRule="auto"/>
        <w:ind w:left="720" w:hanging="720"/>
        <w:jc w:val="both"/>
        <w:rPr>
          <w:rFonts w:ascii="David" w:hAnsi="David"/>
          <w:b/>
          <w:bCs/>
          <w:u w:val="single"/>
          <w:rtl/>
        </w:rPr>
      </w:pPr>
      <w:r w:rsidRPr="00EB6C0B">
        <w:rPr>
          <w:rFonts w:ascii="David" w:hAnsi="David" w:hint="cs"/>
          <w:b/>
          <w:bCs/>
          <w:u w:val="single"/>
          <w:rtl/>
        </w:rPr>
        <w:t>שיעור ההוצאות ושכ"ט עו"ד</w:t>
      </w:r>
    </w:p>
    <w:p w:rsidR="009A3EDE" w:rsidRDefault="009A3EDE" w:rsidP="009A3EDE">
      <w:pPr>
        <w:spacing w:after="120" w:line="360" w:lineRule="auto"/>
        <w:ind w:left="720" w:hanging="720"/>
        <w:jc w:val="both"/>
        <w:rPr>
          <w:rFonts w:ascii="David" w:hAnsi="David"/>
          <w:rtl/>
        </w:rPr>
      </w:pPr>
      <w:r>
        <w:rPr>
          <w:rFonts w:ascii="David" w:hAnsi="David" w:hint="cs"/>
          <w:rtl/>
        </w:rPr>
        <w:t>47.</w:t>
      </w:r>
      <w:r>
        <w:rPr>
          <w:rFonts w:ascii="David" w:hAnsi="David" w:hint="cs"/>
          <w:rtl/>
        </w:rPr>
        <w:tab/>
        <w:t xml:space="preserve">כאמור השופט קמא השית על האב לשלם לאם הוצאות משפט ושכר טרחת עורך דין (להלן: </w:t>
      </w:r>
      <w:r>
        <w:rPr>
          <w:rFonts w:ascii="David" w:hAnsi="David" w:hint="cs"/>
          <w:b/>
          <w:bCs/>
          <w:rtl/>
        </w:rPr>
        <w:t>"סכום ההוצאות"</w:t>
      </w:r>
      <w:r>
        <w:rPr>
          <w:rFonts w:ascii="David" w:hAnsi="David" w:hint="cs"/>
          <w:rtl/>
        </w:rPr>
        <w:t xml:space="preserve">) בסכום כולל של 55,000 ₪. הטעם (הקצר) שנתן השופט קמא לכך היה, לאחר ששקל </w:t>
      </w:r>
      <w:r w:rsidRPr="00EB6C0B">
        <w:rPr>
          <w:rFonts w:ascii="David" w:hAnsi="David" w:hint="cs"/>
          <w:rtl/>
        </w:rPr>
        <w:t>את</w:t>
      </w:r>
      <w:r>
        <w:rPr>
          <w:rFonts w:ascii="David" w:hAnsi="David" w:hint="cs"/>
          <w:b/>
          <w:bCs/>
          <w:rtl/>
        </w:rPr>
        <w:t xml:space="preserve"> </w:t>
      </w:r>
      <w:r w:rsidRPr="00EB6C0B">
        <w:rPr>
          <w:rFonts w:ascii="David" w:hAnsi="David" w:hint="cs"/>
          <w:b/>
          <w:bCs/>
          <w:rtl/>
        </w:rPr>
        <w:t>"אופן התנהלות הצדדים ורוחב היריעה שנפרסה"</w:t>
      </w:r>
      <w:r>
        <w:rPr>
          <w:rFonts w:ascii="David" w:hAnsi="David" w:hint="cs"/>
          <w:b/>
          <w:bCs/>
          <w:rtl/>
        </w:rPr>
        <w:t xml:space="preserve"> </w:t>
      </w:r>
      <w:r>
        <w:rPr>
          <w:rFonts w:ascii="David" w:hAnsi="David" w:hint="cs"/>
          <w:rtl/>
        </w:rPr>
        <w:t xml:space="preserve">(ראו סיכום הנקודה בפסק הדין בסעיף 15(א) לעיל). </w:t>
      </w:r>
    </w:p>
    <w:p w:rsidR="009A3EDE" w:rsidRDefault="009A3EDE" w:rsidP="009A3EDE">
      <w:pPr>
        <w:spacing w:after="120" w:line="360" w:lineRule="auto"/>
        <w:ind w:left="720" w:hanging="720"/>
        <w:jc w:val="both"/>
        <w:rPr>
          <w:rFonts w:ascii="David" w:hAnsi="David"/>
          <w:rtl/>
        </w:rPr>
      </w:pPr>
      <w:r>
        <w:rPr>
          <w:rFonts w:ascii="David" w:hAnsi="David" w:hint="cs"/>
          <w:rtl/>
        </w:rPr>
        <w:lastRenderedPageBreak/>
        <w:t>48.</w:t>
      </w:r>
      <w:r>
        <w:rPr>
          <w:rFonts w:ascii="David" w:hAnsi="David" w:hint="cs"/>
          <w:rtl/>
        </w:rPr>
        <w:tab/>
        <w:t xml:space="preserve">על שיעור ההוצאות מלין האב (ראו סעיף 16(ו) לעיל), והמשיבה טוענת בתשובתה כי יש לדחות הערעור בנקודה זאת. </w:t>
      </w:r>
    </w:p>
    <w:p w:rsidR="009A3EDE" w:rsidRDefault="009A3EDE" w:rsidP="009A3EDE">
      <w:pPr>
        <w:spacing w:after="120" w:line="360" w:lineRule="auto"/>
        <w:ind w:left="720" w:hanging="720"/>
        <w:jc w:val="both"/>
        <w:rPr>
          <w:rFonts w:ascii="David" w:hAnsi="David"/>
          <w:rtl/>
        </w:rPr>
      </w:pPr>
      <w:r>
        <w:rPr>
          <w:rFonts w:ascii="David" w:hAnsi="David" w:hint="cs"/>
          <w:rtl/>
        </w:rPr>
        <w:t>49.</w:t>
      </w:r>
      <w:r>
        <w:rPr>
          <w:rFonts w:ascii="David" w:hAnsi="David" w:hint="cs"/>
          <w:rtl/>
        </w:rPr>
        <w:tab/>
        <w:t xml:space="preserve">הפסיקה בסוגיית התערבות ערכאת הערעור בנושא ההוצאות קובעת, </w:t>
      </w:r>
      <w:r w:rsidRPr="00EB6C0B">
        <w:rPr>
          <w:rFonts w:ascii="David" w:hAnsi="David"/>
          <w:rtl/>
        </w:rPr>
        <w:t xml:space="preserve">כי לערכאה הדיונית נתון שיקול דעת רחב </w:t>
      </w:r>
      <w:r>
        <w:rPr>
          <w:rFonts w:ascii="David" w:hAnsi="David"/>
          <w:rtl/>
        </w:rPr>
        <w:t>ביותר בנושא קביעת הוצאות משפט</w:t>
      </w:r>
      <w:r>
        <w:rPr>
          <w:rFonts w:ascii="David" w:hAnsi="David" w:hint="cs"/>
          <w:rtl/>
        </w:rPr>
        <w:t xml:space="preserve">. </w:t>
      </w:r>
      <w:r w:rsidRPr="00EB6C0B">
        <w:rPr>
          <w:rFonts w:ascii="David" w:hAnsi="David"/>
          <w:rtl/>
        </w:rPr>
        <w:t>ערכאת הערעור לא תתערב בהחלטות בנושא זה, אלא במקרים חריגים בהם נפלה טעות משפטית או דבק פגם או פסול מהותי בשיקול דעתה של הערכאה הדיונית</w:t>
      </w:r>
      <w:r>
        <w:rPr>
          <w:rFonts w:ascii="David" w:hAnsi="David" w:hint="cs"/>
          <w:rtl/>
        </w:rPr>
        <w:t xml:space="preserve">. </w:t>
      </w:r>
    </w:p>
    <w:p w:rsidR="009A3EDE" w:rsidRDefault="009A3EDE" w:rsidP="009A3EDE">
      <w:pPr>
        <w:spacing w:after="120" w:line="360" w:lineRule="auto"/>
        <w:ind w:left="720" w:hanging="720"/>
        <w:jc w:val="both"/>
        <w:rPr>
          <w:rFonts w:ascii="David" w:hAnsi="David"/>
          <w:rtl/>
        </w:rPr>
      </w:pPr>
      <w:r>
        <w:rPr>
          <w:rFonts w:ascii="David" w:hAnsi="David"/>
          <w:rtl/>
        </w:rPr>
        <w:tab/>
      </w:r>
      <w:r w:rsidRPr="00EB6C0B">
        <w:rPr>
          <w:rFonts w:ascii="David" w:hAnsi="David" w:hint="cs"/>
          <w:u w:val="single"/>
          <w:rtl/>
        </w:rPr>
        <w:t>ראו לענין זה</w:t>
      </w:r>
      <w:r>
        <w:rPr>
          <w:rFonts w:ascii="David" w:hAnsi="David" w:hint="cs"/>
          <w:rtl/>
        </w:rPr>
        <w:t>:</w:t>
      </w:r>
    </w:p>
    <w:p w:rsidR="009A3EDE" w:rsidRDefault="009A3EDE" w:rsidP="009A3EDE">
      <w:pPr>
        <w:spacing w:after="120" w:line="360" w:lineRule="auto"/>
        <w:ind w:left="720"/>
        <w:jc w:val="both"/>
        <w:rPr>
          <w:rFonts w:ascii="David" w:hAnsi="David"/>
          <w:rtl/>
        </w:rPr>
      </w:pPr>
      <w:r w:rsidRPr="00EB6C0B">
        <w:rPr>
          <w:rFonts w:ascii="David" w:hAnsi="David"/>
          <w:rtl/>
        </w:rPr>
        <w:t xml:space="preserve">ע"א 9535/04 </w:t>
      </w:r>
      <w:r w:rsidRPr="00EB6C0B">
        <w:rPr>
          <w:rFonts w:ascii="David" w:hAnsi="David"/>
          <w:b/>
          <w:bCs/>
          <w:rtl/>
        </w:rPr>
        <w:t>סיעת "ביאליק 10" נ' סיעת "יש עתיד לביאליק",</w:t>
      </w:r>
      <w:r>
        <w:rPr>
          <w:rFonts w:ascii="David" w:hAnsi="David"/>
          <w:rtl/>
        </w:rPr>
        <w:t xml:space="preserve"> פ"ד ס(1) 391, 395 (2005)</w:t>
      </w:r>
      <w:r>
        <w:rPr>
          <w:rFonts w:ascii="David" w:hAnsi="David" w:hint="cs"/>
          <w:rtl/>
        </w:rPr>
        <w:t>;</w:t>
      </w:r>
    </w:p>
    <w:p w:rsidR="009A3EDE" w:rsidRDefault="009A3EDE" w:rsidP="009A3EDE">
      <w:pPr>
        <w:spacing w:after="120" w:line="360" w:lineRule="auto"/>
        <w:ind w:firstLine="720"/>
        <w:jc w:val="both"/>
        <w:rPr>
          <w:rFonts w:ascii="David" w:hAnsi="David"/>
          <w:rtl/>
        </w:rPr>
      </w:pPr>
      <w:r w:rsidRPr="00EB6C0B">
        <w:rPr>
          <w:rFonts w:ascii="David" w:hAnsi="David"/>
          <w:rtl/>
        </w:rPr>
        <w:t xml:space="preserve">ע"א 6685/11 </w:t>
      </w:r>
      <w:r w:rsidRPr="00EB6C0B">
        <w:rPr>
          <w:rFonts w:ascii="David" w:hAnsi="David"/>
          <w:b/>
          <w:bCs/>
          <w:rtl/>
        </w:rPr>
        <w:t>גריידי נ' הולצמן</w:t>
      </w:r>
      <w:r w:rsidRPr="00EB6C0B">
        <w:rPr>
          <w:rFonts w:ascii="David" w:hAnsi="David"/>
          <w:rtl/>
        </w:rPr>
        <w:t xml:space="preserve">, פסקה 5 (4.7.2012); </w:t>
      </w:r>
    </w:p>
    <w:p w:rsidR="009A3EDE" w:rsidRDefault="009A3EDE" w:rsidP="009A3EDE">
      <w:pPr>
        <w:spacing w:after="120" w:line="360" w:lineRule="auto"/>
        <w:ind w:firstLine="720"/>
        <w:jc w:val="both"/>
        <w:rPr>
          <w:rFonts w:ascii="David" w:hAnsi="David"/>
          <w:rtl/>
        </w:rPr>
      </w:pPr>
      <w:r w:rsidRPr="00EB6C0B">
        <w:rPr>
          <w:rFonts w:ascii="David" w:hAnsi="David"/>
          <w:rtl/>
        </w:rPr>
        <w:t xml:space="preserve">רע"א 1689/24 </w:t>
      </w:r>
      <w:r w:rsidRPr="00EB6C0B">
        <w:rPr>
          <w:rFonts w:ascii="David" w:hAnsi="David"/>
          <w:b/>
          <w:bCs/>
          <w:rtl/>
        </w:rPr>
        <w:t>ינקילוב נ' שמחייב,</w:t>
      </w:r>
      <w:r>
        <w:rPr>
          <w:rFonts w:ascii="David" w:hAnsi="David"/>
          <w:rtl/>
        </w:rPr>
        <w:t xml:space="preserve"> פסקה 12</w:t>
      </w:r>
      <w:r w:rsidRPr="00EB6C0B">
        <w:rPr>
          <w:rFonts w:ascii="David" w:hAnsi="David"/>
          <w:rtl/>
        </w:rPr>
        <w:t xml:space="preserve"> (21.3.2024).</w:t>
      </w:r>
    </w:p>
    <w:p w:rsidR="009A3EDE" w:rsidRDefault="009A3EDE" w:rsidP="009A3EDE">
      <w:pPr>
        <w:spacing w:after="120" w:line="360" w:lineRule="auto"/>
        <w:jc w:val="both"/>
        <w:rPr>
          <w:rFonts w:ascii="David" w:hAnsi="David"/>
          <w:rtl/>
        </w:rPr>
      </w:pPr>
      <w:r>
        <w:rPr>
          <w:rFonts w:ascii="David" w:hAnsi="David" w:hint="cs"/>
          <w:rtl/>
        </w:rPr>
        <w:t>50.</w:t>
      </w:r>
      <w:r>
        <w:rPr>
          <w:rFonts w:ascii="David" w:hAnsi="David" w:hint="cs"/>
          <w:rtl/>
        </w:rPr>
        <w:tab/>
        <w:t>בחינת המקרה דנן שכנעני להמליץ לחבריי להורות על הפחתת סכום ההוצאות לכדי שיעור של 30,000 ₪.</w:t>
      </w:r>
    </w:p>
    <w:p w:rsidR="009A3EDE" w:rsidRDefault="009A3EDE" w:rsidP="009A3EDE">
      <w:pPr>
        <w:spacing w:after="120" w:line="360" w:lineRule="auto"/>
        <w:jc w:val="both"/>
        <w:rPr>
          <w:rFonts w:ascii="David" w:hAnsi="David"/>
          <w:rtl/>
        </w:rPr>
      </w:pPr>
      <w:r>
        <w:rPr>
          <w:rFonts w:ascii="David" w:hAnsi="David"/>
          <w:rtl/>
        </w:rPr>
        <w:tab/>
      </w:r>
      <w:r w:rsidRPr="00EB6C0B">
        <w:rPr>
          <w:rFonts w:ascii="David" w:hAnsi="David" w:hint="cs"/>
          <w:u w:val="single"/>
          <w:rtl/>
        </w:rPr>
        <w:t>טעמיי הם כדלקמן</w:t>
      </w:r>
      <w:r>
        <w:rPr>
          <w:rFonts w:ascii="David" w:hAnsi="David" w:hint="cs"/>
          <w:rtl/>
        </w:rPr>
        <w:t>:</w:t>
      </w:r>
    </w:p>
    <w:p w:rsidR="009A3EDE" w:rsidRPr="00A03134" w:rsidRDefault="009A3EDE" w:rsidP="009A3EDE">
      <w:pPr>
        <w:pStyle w:val="ad"/>
        <w:numPr>
          <w:ilvl w:val="0"/>
          <w:numId w:val="2"/>
        </w:numPr>
        <w:spacing w:after="120" w:line="360" w:lineRule="auto"/>
        <w:contextualSpacing w:val="0"/>
        <w:jc w:val="both"/>
        <w:rPr>
          <w:rFonts w:ascii="David" w:hAnsi="David" w:cs="David"/>
          <w:sz w:val="24"/>
          <w:szCs w:val="24"/>
          <w:rtl/>
        </w:rPr>
      </w:pPr>
      <w:r w:rsidRPr="00A03134">
        <w:rPr>
          <w:rFonts w:ascii="David" w:hAnsi="David" w:cs="David" w:hint="cs"/>
          <w:sz w:val="24"/>
          <w:szCs w:val="24"/>
          <w:rtl/>
        </w:rPr>
        <w:t>משהופחת סכום הפיצוי  הנזיקי בכ-32% במסגרת ערעור זה</w:t>
      </w:r>
      <w:r>
        <w:rPr>
          <w:rFonts w:ascii="David" w:hAnsi="David" w:cs="David" w:hint="cs"/>
          <w:sz w:val="24"/>
          <w:szCs w:val="24"/>
          <w:rtl/>
        </w:rPr>
        <w:t>,</w:t>
      </w:r>
      <w:r w:rsidRPr="00A03134">
        <w:rPr>
          <w:rFonts w:ascii="David" w:hAnsi="David" w:cs="David" w:hint="cs"/>
          <w:sz w:val="24"/>
          <w:szCs w:val="24"/>
          <w:rtl/>
        </w:rPr>
        <w:t xml:space="preserve"> יש הצדקה להפחתת סכום ההוצאות שנפסקו, שכן לא מן הנמנע כי סכום הפיצוי שנפסק בפסק הדין קמא שימש כאבן בוחן לקביעת סכום ההוצאות.</w:t>
      </w:r>
    </w:p>
    <w:p w:rsidR="009A3EDE" w:rsidRPr="00A03134" w:rsidRDefault="009A3EDE" w:rsidP="009A3EDE">
      <w:pPr>
        <w:pStyle w:val="ad"/>
        <w:spacing w:after="120" w:line="360" w:lineRule="auto"/>
        <w:ind w:left="1440"/>
        <w:contextualSpacing w:val="0"/>
        <w:jc w:val="both"/>
        <w:rPr>
          <w:rFonts w:ascii="David" w:hAnsi="David" w:cs="David"/>
          <w:sz w:val="24"/>
          <w:szCs w:val="24"/>
          <w:rtl/>
        </w:rPr>
      </w:pPr>
      <w:r>
        <w:rPr>
          <w:rFonts w:ascii="David" w:hAnsi="David" w:cs="David" w:hint="cs"/>
          <w:sz w:val="24"/>
          <w:szCs w:val="24"/>
          <w:rtl/>
        </w:rPr>
        <w:t>נפנה בנדון ל-</w:t>
      </w:r>
      <w:r>
        <w:rPr>
          <w:rFonts w:ascii="David" w:hAnsi="David" w:cs="David"/>
          <w:sz w:val="24"/>
          <w:szCs w:val="24"/>
          <w:rtl/>
        </w:rPr>
        <w:t>ע"א 89/04</w:t>
      </w:r>
      <w:r>
        <w:rPr>
          <w:rFonts w:ascii="David" w:hAnsi="David" w:cs="David" w:hint="cs"/>
          <w:sz w:val="24"/>
          <w:szCs w:val="24"/>
          <w:rtl/>
        </w:rPr>
        <w:t xml:space="preserve"> </w:t>
      </w:r>
      <w:r>
        <w:rPr>
          <w:rFonts w:ascii="David" w:hAnsi="David" w:cs="David"/>
          <w:sz w:val="24"/>
          <w:szCs w:val="24"/>
          <w:rtl/>
        </w:rPr>
        <w:t>‏</w:t>
      </w:r>
      <w:r w:rsidRPr="00A03134">
        <w:rPr>
          <w:rFonts w:ascii="David" w:hAnsi="David" w:cs="David"/>
          <w:b/>
          <w:bCs/>
          <w:sz w:val="24"/>
          <w:szCs w:val="24"/>
          <w:rtl/>
        </w:rPr>
        <w:t>ד"ר יולי נודלמן נ' נתן שרנסקי</w:t>
      </w:r>
      <w:r>
        <w:rPr>
          <w:rFonts w:ascii="David" w:hAnsi="David" w:cs="David" w:hint="cs"/>
          <w:sz w:val="24"/>
          <w:szCs w:val="24"/>
          <w:rtl/>
        </w:rPr>
        <w:t xml:space="preserve">, פסקה 77 </w:t>
      </w:r>
      <w:r>
        <w:rPr>
          <w:rFonts w:ascii="David" w:hAnsi="David" w:cs="David"/>
          <w:sz w:val="24"/>
          <w:szCs w:val="24"/>
          <w:rtl/>
        </w:rPr>
        <w:t>(4.8.2008)</w:t>
      </w:r>
      <w:r>
        <w:rPr>
          <w:rFonts w:ascii="David" w:hAnsi="David" w:cs="David" w:hint="cs"/>
          <w:sz w:val="24"/>
          <w:szCs w:val="24"/>
          <w:rtl/>
        </w:rPr>
        <w:t xml:space="preserve">. שם ציין בית המשפט העליון כי: </w:t>
      </w:r>
      <w:r>
        <w:rPr>
          <w:rFonts w:ascii="David" w:hAnsi="David" w:cs="David" w:hint="cs"/>
          <w:b/>
          <w:bCs/>
          <w:sz w:val="24"/>
          <w:szCs w:val="24"/>
          <w:rtl/>
        </w:rPr>
        <w:t>"</w:t>
      </w:r>
      <w:r w:rsidRPr="00A03134">
        <w:rPr>
          <w:rFonts w:ascii="David" w:hAnsi="David" w:cs="David"/>
          <w:b/>
          <w:bCs/>
          <w:sz w:val="24"/>
          <w:szCs w:val="24"/>
          <w:rtl/>
        </w:rPr>
        <w:t>דומה, שהפחתת הפיצוי שנפסק לטובת המשיב, ראוי שתוביל להפחתה תואמת גם בשיעור שכר הטרחה וההוצאות שנגזרו מכוחו</w:t>
      </w:r>
      <w:r>
        <w:rPr>
          <w:rFonts w:ascii="David" w:hAnsi="David" w:cs="David" w:hint="cs"/>
          <w:b/>
          <w:bCs/>
          <w:sz w:val="24"/>
          <w:szCs w:val="24"/>
          <w:rtl/>
        </w:rPr>
        <w:t>..."</w:t>
      </w:r>
      <w:r>
        <w:rPr>
          <w:rFonts w:ascii="David" w:hAnsi="David" w:cs="David" w:hint="cs"/>
          <w:sz w:val="24"/>
          <w:szCs w:val="24"/>
          <w:rtl/>
        </w:rPr>
        <w:t>.</w:t>
      </w:r>
    </w:p>
    <w:p w:rsidR="009A3EDE" w:rsidRDefault="009A3EDE" w:rsidP="009A3EDE">
      <w:pPr>
        <w:spacing w:after="120" w:line="360" w:lineRule="auto"/>
        <w:ind w:left="1440" w:hanging="720"/>
        <w:jc w:val="both"/>
        <w:rPr>
          <w:rFonts w:ascii="David" w:hAnsi="David"/>
          <w:rtl/>
        </w:rPr>
      </w:pPr>
      <w:r>
        <w:rPr>
          <w:rFonts w:ascii="David" w:hAnsi="David" w:hint="cs"/>
          <w:rtl/>
        </w:rPr>
        <w:t>ב.</w:t>
      </w:r>
      <w:r>
        <w:rPr>
          <w:rFonts w:ascii="David" w:hAnsi="David" w:hint="cs"/>
          <w:rtl/>
        </w:rPr>
        <w:tab/>
        <w:t xml:space="preserve">השופט קמא לא פירט "יותר מדי" מדוע </w:t>
      </w:r>
      <w:r w:rsidRPr="00EB6C0B">
        <w:rPr>
          <w:rFonts w:ascii="David" w:hAnsi="David" w:hint="cs"/>
          <w:b/>
          <w:bCs/>
          <w:rtl/>
        </w:rPr>
        <w:t>"אופן התנ</w:t>
      </w:r>
      <w:r>
        <w:rPr>
          <w:rFonts w:ascii="David" w:hAnsi="David" w:hint="cs"/>
          <w:b/>
          <w:bCs/>
          <w:rtl/>
        </w:rPr>
        <w:t>הלות הצדדים ורוחב היריעה שנפרסה"</w:t>
      </w:r>
      <w:r>
        <w:rPr>
          <w:rFonts w:ascii="David" w:hAnsi="David" w:hint="cs"/>
          <w:rtl/>
        </w:rPr>
        <w:t xml:space="preserve">, כלשון השופט קמא, הצדיקה השתת סכום הוצאות כה נכבד על האב. לא פורט במה האב האריך את הדיונים יותר מהאם. </w:t>
      </w:r>
    </w:p>
    <w:p w:rsidR="009A3EDE" w:rsidRDefault="009A3EDE" w:rsidP="009A3EDE">
      <w:pPr>
        <w:spacing w:after="120" w:line="360" w:lineRule="auto"/>
        <w:ind w:left="1440" w:hanging="720"/>
        <w:jc w:val="both"/>
        <w:rPr>
          <w:rFonts w:ascii="David" w:hAnsi="David"/>
          <w:rtl/>
        </w:rPr>
      </w:pPr>
      <w:r>
        <w:rPr>
          <w:rFonts w:ascii="David" w:hAnsi="David"/>
          <w:rtl/>
        </w:rPr>
        <w:tab/>
      </w:r>
      <w:r>
        <w:rPr>
          <w:rFonts w:ascii="David" w:hAnsi="David" w:hint="cs"/>
          <w:rtl/>
        </w:rPr>
        <w:t xml:space="preserve">נזכיר כי האם הגישה שלוש תובענות נגד האב (אחת מהן היא התביעה הנזיקית) שנדונו והוכרעו במסגרת פסק הדין, אך שתי התביעות האחרות נדחו בפסק הדין (ראו פירוט בסעיף 15(ב)), ללא שהשופט קמא ציין כי לקח בחשבון בעת קביעת שיעור ההוצאות, את דחיית שתי התובענות הנ"ל. </w:t>
      </w:r>
    </w:p>
    <w:p w:rsidR="009A3EDE" w:rsidRDefault="009A3EDE" w:rsidP="009A3EDE">
      <w:pPr>
        <w:spacing w:after="120" w:line="360" w:lineRule="auto"/>
        <w:ind w:left="1440" w:hanging="720"/>
        <w:jc w:val="both"/>
        <w:rPr>
          <w:rFonts w:ascii="David" w:hAnsi="David"/>
          <w:rtl/>
        </w:rPr>
      </w:pPr>
      <w:r>
        <w:rPr>
          <w:rFonts w:ascii="David" w:hAnsi="David"/>
          <w:rtl/>
        </w:rPr>
        <w:tab/>
      </w:r>
      <w:r>
        <w:rPr>
          <w:rFonts w:ascii="David" w:hAnsi="David" w:hint="cs"/>
          <w:rtl/>
        </w:rPr>
        <w:t xml:space="preserve">סביר כי תובענות אלה חייבו התייחסות האב אליהן, וחייבו להתגונן מפניהן. </w:t>
      </w:r>
    </w:p>
    <w:p w:rsidR="009A3EDE" w:rsidRDefault="009A3EDE" w:rsidP="009A3EDE">
      <w:pPr>
        <w:spacing w:after="120" w:line="360" w:lineRule="auto"/>
        <w:ind w:left="1440" w:hanging="720"/>
        <w:jc w:val="both"/>
        <w:rPr>
          <w:rFonts w:ascii="David" w:hAnsi="David"/>
          <w:rtl/>
        </w:rPr>
      </w:pPr>
      <w:r>
        <w:rPr>
          <w:rFonts w:ascii="David" w:hAnsi="David"/>
          <w:rtl/>
        </w:rPr>
        <w:tab/>
      </w:r>
      <w:r>
        <w:rPr>
          <w:rFonts w:ascii="David" w:hAnsi="David" w:hint="cs"/>
          <w:rtl/>
        </w:rPr>
        <w:t xml:space="preserve">דחיית התובענות הנ"ל צריכה הייתה להשפיע </w:t>
      </w:r>
      <w:r w:rsidRPr="007115D6">
        <w:rPr>
          <w:rFonts w:ascii="David" w:hAnsi="David" w:hint="cs"/>
          <w:u w:val="single"/>
          <w:rtl/>
        </w:rPr>
        <w:t>כלפי מטה</w:t>
      </w:r>
      <w:r>
        <w:rPr>
          <w:rFonts w:ascii="David" w:hAnsi="David" w:hint="cs"/>
          <w:rtl/>
        </w:rPr>
        <w:t xml:space="preserve"> על שיעור ההוצאות שאמורות להיפסק לחובת האב, שכן סביר כי הרחיבו את רוחב יריעות הדיון שלא לצורך.</w:t>
      </w:r>
    </w:p>
    <w:p w:rsidR="009A3EDE" w:rsidRDefault="009A3EDE" w:rsidP="009A3EDE">
      <w:pPr>
        <w:pStyle w:val="ad"/>
        <w:numPr>
          <w:ilvl w:val="0"/>
          <w:numId w:val="1"/>
        </w:numPr>
        <w:spacing w:after="120" w:line="360" w:lineRule="auto"/>
        <w:contextualSpacing w:val="0"/>
        <w:jc w:val="both"/>
        <w:rPr>
          <w:rFonts w:ascii="David" w:hAnsi="David" w:cs="David"/>
          <w:sz w:val="24"/>
          <w:szCs w:val="24"/>
        </w:rPr>
      </w:pPr>
      <w:r>
        <w:rPr>
          <w:rFonts w:ascii="David" w:hAnsi="David" w:cs="David" w:hint="cs"/>
          <w:sz w:val="24"/>
          <w:szCs w:val="24"/>
          <w:rtl/>
        </w:rPr>
        <w:t xml:space="preserve">התובענה הנזיקית הוגשה על סכום מוגזם בשיעור של מיליון ₪, שללא ספק השפיע על הליך התגוננותו של האב, ולהקפדתו על ניהול דיון מפורט וממצה. לא מן הנמנע, שאם האם היתה תובעת סכום נמוך וריאלי יותר, תובענה זאת היתה יכולה לבוא על פתרונה בדרך של פשרה, ובכך לחסוך בזמנם של כל הנוגעים בדבר. </w:t>
      </w:r>
    </w:p>
    <w:p w:rsidR="009A3EDE" w:rsidRDefault="009A3EDE" w:rsidP="009A3EDE">
      <w:pPr>
        <w:pStyle w:val="ad"/>
        <w:spacing w:after="120" w:line="360" w:lineRule="auto"/>
        <w:ind w:left="1440"/>
        <w:contextualSpacing w:val="0"/>
        <w:jc w:val="both"/>
        <w:rPr>
          <w:rFonts w:ascii="David" w:hAnsi="David" w:cs="David"/>
          <w:sz w:val="24"/>
          <w:szCs w:val="24"/>
          <w:rtl/>
        </w:rPr>
      </w:pPr>
      <w:r>
        <w:rPr>
          <w:rFonts w:ascii="David" w:hAnsi="David" w:cs="David" w:hint="cs"/>
          <w:sz w:val="24"/>
          <w:szCs w:val="24"/>
          <w:rtl/>
        </w:rPr>
        <w:lastRenderedPageBreak/>
        <w:t xml:space="preserve">משכך </w:t>
      </w:r>
      <w:r>
        <w:rPr>
          <w:rFonts w:ascii="David" w:hAnsi="David" w:cs="David"/>
          <w:sz w:val="24"/>
          <w:szCs w:val="24"/>
          <w:rtl/>
        </w:rPr>
        <w:t>–</w:t>
      </w:r>
      <w:r>
        <w:rPr>
          <w:rFonts w:ascii="David" w:hAnsi="David" w:cs="David" w:hint="cs"/>
          <w:sz w:val="24"/>
          <w:szCs w:val="24"/>
          <w:rtl/>
        </w:rPr>
        <w:t xml:space="preserve"> </w:t>
      </w:r>
      <w:r>
        <w:rPr>
          <w:rFonts w:ascii="David" w:hAnsi="David" w:cs="David" w:hint="cs"/>
          <w:b/>
          <w:bCs/>
          <w:sz w:val="24"/>
          <w:szCs w:val="24"/>
          <w:rtl/>
        </w:rPr>
        <w:t xml:space="preserve">"אופן התנהלות הצדדים" </w:t>
      </w:r>
      <w:r w:rsidRPr="00D043EB">
        <w:rPr>
          <w:rFonts w:ascii="David" w:hAnsi="David" w:cs="David" w:hint="cs"/>
          <w:sz w:val="24"/>
          <w:szCs w:val="24"/>
          <w:rtl/>
        </w:rPr>
        <w:t>(נ</w:t>
      </w:r>
      <w:r>
        <w:rPr>
          <w:rFonts w:ascii="David" w:hAnsi="David" w:cs="David" w:hint="cs"/>
          <w:sz w:val="24"/>
          <w:szCs w:val="24"/>
          <w:rtl/>
        </w:rPr>
        <w:t>ימוק השופט קמא)</w:t>
      </w:r>
      <w:r>
        <w:rPr>
          <w:rFonts w:ascii="David" w:hAnsi="David" w:cs="David" w:hint="cs"/>
          <w:b/>
          <w:bCs/>
          <w:sz w:val="24"/>
          <w:szCs w:val="24"/>
          <w:rtl/>
        </w:rPr>
        <w:t xml:space="preserve"> </w:t>
      </w:r>
      <w:r>
        <w:rPr>
          <w:rFonts w:ascii="David" w:hAnsi="David" w:cs="David" w:hint="cs"/>
          <w:sz w:val="24"/>
          <w:szCs w:val="24"/>
          <w:rtl/>
        </w:rPr>
        <w:t xml:space="preserve">הוא לכל היותר הדדי, וצריך להשפיע על סכום ההוצאות כלפי מטה. </w:t>
      </w:r>
    </w:p>
    <w:p w:rsidR="009A3EDE" w:rsidRDefault="009A3EDE" w:rsidP="009A3EDE">
      <w:pPr>
        <w:spacing w:after="120" w:line="360" w:lineRule="auto"/>
        <w:ind w:left="720" w:hanging="720"/>
        <w:jc w:val="both"/>
        <w:rPr>
          <w:rFonts w:ascii="David" w:hAnsi="David"/>
          <w:rtl/>
        </w:rPr>
      </w:pPr>
      <w:r>
        <w:rPr>
          <w:rFonts w:ascii="David" w:hAnsi="David" w:hint="cs"/>
          <w:rtl/>
        </w:rPr>
        <w:t>51.</w:t>
      </w:r>
      <w:r>
        <w:rPr>
          <w:rFonts w:ascii="David" w:hAnsi="David" w:hint="cs"/>
          <w:rtl/>
        </w:rPr>
        <w:tab/>
        <w:t xml:space="preserve">במצב דברים זה אמליץ לחבריי לקבל באופן חריג רכיב ערעור זה הנוגע לסכום ההוצאות, ולקבוע כי יעמוד על סך של 30,000 ₪ (תחת הסכום של 55,000 ₪ שפסק השופט קמא בפסק הדין). </w:t>
      </w:r>
    </w:p>
    <w:p w:rsidR="009A3EDE" w:rsidRDefault="009A3EDE" w:rsidP="009A3EDE">
      <w:pPr>
        <w:spacing w:after="120" w:line="360" w:lineRule="auto"/>
        <w:ind w:left="720" w:hanging="720"/>
        <w:jc w:val="both"/>
        <w:rPr>
          <w:rFonts w:ascii="David" w:hAnsi="David"/>
          <w:rtl/>
        </w:rPr>
      </w:pPr>
    </w:p>
    <w:p w:rsidR="009A3EDE" w:rsidRPr="00EB6C0B" w:rsidRDefault="009A3EDE" w:rsidP="009A3EDE">
      <w:pPr>
        <w:spacing w:after="120" w:line="360" w:lineRule="auto"/>
        <w:ind w:left="720" w:hanging="720"/>
        <w:jc w:val="both"/>
        <w:rPr>
          <w:rFonts w:ascii="David" w:hAnsi="David"/>
          <w:b/>
          <w:bCs/>
          <w:u w:val="single"/>
          <w:rtl/>
        </w:rPr>
      </w:pPr>
      <w:r w:rsidRPr="00EB6C0B">
        <w:rPr>
          <w:rFonts w:ascii="David" w:hAnsi="David" w:hint="cs"/>
          <w:b/>
          <w:bCs/>
          <w:u w:val="single"/>
          <w:rtl/>
        </w:rPr>
        <w:t>סוף דבר</w:t>
      </w:r>
    </w:p>
    <w:p w:rsidR="009A3EDE" w:rsidRDefault="009A3EDE" w:rsidP="009A3EDE">
      <w:pPr>
        <w:spacing w:after="120" w:line="360" w:lineRule="auto"/>
        <w:jc w:val="both"/>
        <w:rPr>
          <w:rFonts w:ascii="David" w:hAnsi="David"/>
          <w:rtl/>
        </w:rPr>
      </w:pPr>
      <w:r>
        <w:rPr>
          <w:rFonts w:ascii="David" w:hAnsi="David" w:hint="cs"/>
          <w:rtl/>
        </w:rPr>
        <w:t>52.</w:t>
      </w:r>
      <w:r>
        <w:rPr>
          <w:rFonts w:ascii="David" w:hAnsi="David" w:hint="cs"/>
          <w:rtl/>
        </w:rPr>
        <w:tab/>
      </w:r>
      <w:r w:rsidRPr="00EB6C0B">
        <w:rPr>
          <w:rFonts w:ascii="David" w:hAnsi="David" w:hint="cs"/>
          <w:u w:val="single"/>
          <w:rtl/>
        </w:rPr>
        <w:t>לאור כל האמור לעיל אמליץ לחבריי כדלקמן</w:t>
      </w:r>
      <w:r>
        <w:rPr>
          <w:rFonts w:ascii="David" w:hAnsi="David" w:hint="cs"/>
          <w:rtl/>
        </w:rPr>
        <w:t>:</w:t>
      </w:r>
    </w:p>
    <w:p w:rsidR="009A3EDE" w:rsidRPr="00EB6C0B" w:rsidRDefault="009A3EDE" w:rsidP="009A3EDE">
      <w:pPr>
        <w:spacing w:after="120" w:line="360" w:lineRule="auto"/>
        <w:jc w:val="both"/>
        <w:rPr>
          <w:rFonts w:ascii="David" w:hAnsi="David"/>
        </w:rPr>
      </w:pPr>
      <w:r>
        <w:rPr>
          <w:rFonts w:ascii="David" w:hAnsi="David"/>
          <w:rtl/>
        </w:rPr>
        <w:tab/>
      </w:r>
      <w:r>
        <w:rPr>
          <w:rFonts w:ascii="David" w:hAnsi="David" w:hint="cs"/>
          <w:rtl/>
        </w:rPr>
        <w:t>א.</w:t>
      </w:r>
      <w:r>
        <w:rPr>
          <w:rFonts w:ascii="David" w:hAnsi="David" w:hint="cs"/>
          <w:rtl/>
        </w:rPr>
        <w:tab/>
        <w:t>לדחות את רכיב הערעור הנוגע לעצם קביעת אחריותו של האב בנזיקין בתביעה הנזיקית;</w:t>
      </w:r>
    </w:p>
    <w:p w:rsidR="009A3EDE" w:rsidRDefault="009A3EDE" w:rsidP="009A3EDE">
      <w:pPr>
        <w:spacing w:after="120" w:line="360" w:lineRule="auto"/>
        <w:jc w:val="both"/>
        <w:rPr>
          <w:rFonts w:ascii="David" w:hAnsi="David"/>
          <w:rtl/>
        </w:rPr>
      </w:pPr>
      <w:r>
        <w:rPr>
          <w:rFonts w:ascii="David" w:hAnsi="David"/>
          <w:rtl/>
        </w:rPr>
        <w:tab/>
      </w:r>
      <w:r>
        <w:rPr>
          <w:rFonts w:ascii="David" w:hAnsi="David" w:hint="cs"/>
          <w:rtl/>
        </w:rPr>
        <w:t>ב.</w:t>
      </w:r>
      <w:r>
        <w:rPr>
          <w:rFonts w:ascii="David" w:hAnsi="David" w:hint="cs"/>
          <w:rtl/>
        </w:rPr>
        <w:tab/>
        <w:t>להעמיד את שיעור האשם התורם של האם על 40%;</w:t>
      </w:r>
    </w:p>
    <w:p w:rsidR="009A3EDE" w:rsidRDefault="009A3EDE" w:rsidP="009A3EDE">
      <w:pPr>
        <w:spacing w:after="120" w:line="360" w:lineRule="auto"/>
        <w:jc w:val="both"/>
        <w:rPr>
          <w:rFonts w:ascii="David" w:hAnsi="David"/>
          <w:rtl/>
        </w:rPr>
      </w:pPr>
      <w:r>
        <w:rPr>
          <w:rFonts w:ascii="David" w:hAnsi="David"/>
          <w:rtl/>
        </w:rPr>
        <w:tab/>
      </w:r>
      <w:r>
        <w:rPr>
          <w:rFonts w:ascii="David" w:hAnsi="David" w:hint="cs"/>
          <w:rtl/>
        </w:rPr>
        <w:t>ג.</w:t>
      </w:r>
      <w:r>
        <w:rPr>
          <w:rFonts w:ascii="David" w:hAnsi="David" w:hint="cs"/>
          <w:rtl/>
        </w:rPr>
        <w:tab/>
        <w:t xml:space="preserve">להעמיד את שיעור הפיצוי (טרם הפחתת האשם התורם) על סך של 150,000 ₪. </w:t>
      </w:r>
    </w:p>
    <w:p w:rsidR="009A3EDE" w:rsidRDefault="009A3EDE" w:rsidP="009A3EDE">
      <w:pPr>
        <w:spacing w:after="120" w:line="360" w:lineRule="auto"/>
        <w:ind w:firstLine="720"/>
        <w:jc w:val="both"/>
        <w:rPr>
          <w:rFonts w:ascii="David" w:hAnsi="David"/>
          <w:rtl/>
        </w:rPr>
      </w:pPr>
      <w:r>
        <w:rPr>
          <w:rFonts w:ascii="David" w:hAnsi="David" w:hint="cs"/>
          <w:rtl/>
        </w:rPr>
        <w:t>ד.</w:t>
      </w:r>
      <w:r>
        <w:rPr>
          <w:rFonts w:ascii="David" w:hAnsi="David" w:hint="cs"/>
          <w:rtl/>
        </w:rPr>
        <w:tab/>
        <w:t>להעמיד את שיעור ההוצאות בתובענה קמא על סך של 30,000 ₪.</w:t>
      </w:r>
    </w:p>
    <w:p w:rsidR="009A3EDE" w:rsidRDefault="009A3EDE" w:rsidP="009A3EDE">
      <w:pPr>
        <w:spacing w:after="120" w:line="360" w:lineRule="auto"/>
        <w:ind w:left="1440" w:hanging="720"/>
        <w:jc w:val="both"/>
        <w:rPr>
          <w:rFonts w:ascii="David" w:hAnsi="David"/>
          <w:rtl/>
        </w:rPr>
      </w:pPr>
      <w:r>
        <w:rPr>
          <w:rFonts w:ascii="David" w:hAnsi="David" w:hint="cs"/>
          <w:rtl/>
        </w:rPr>
        <w:t>ה.</w:t>
      </w:r>
      <w:r>
        <w:rPr>
          <w:rFonts w:ascii="David" w:hAnsi="David" w:hint="cs"/>
          <w:rtl/>
        </w:rPr>
        <w:tab/>
        <w:t xml:space="preserve">לחייב האם/המשיבה בערעור זה בתשלום הוצאות הערעור של האב/המערער ובשכר טרחת באת כוחו, בסכום כולל של 15,000 ₪ (סכום זה ניתן לקיזוז מסכום חובו של האב אל האם מכוחה של התביעה הנזיקית, בהתאם לפסק דין זה). </w:t>
      </w:r>
    </w:p>
    <w:p w:rsidR="009A3EDE" w:rsidRDefault="009A3EDE" w:rsidP="009A3EDE">
      <w:pPr>
        <w:spacing w:after="120" w:line="360" w:lineRule="auto"/>
        <w:ind w:left="720" w:hanging="720"/>
        <w:jc w:val="both"/>
        <w:rPr>
          <w:rFonts w:ascii="David" w:hAnsi="David"/>
          <w:rtl/>
        </w:rPr>
      </w:pPr>
      <w:r>
        <w:rPr>
          <w:rFonts w:ascii="David" w:hAnsi="David" w:hint="cs"/>
          <w:rtl/>
        </w:rPr>
        <w:t>53.</w:t>
      </w:r>
      <w:r>
        <w:rPr>
          <w:rFonts w:ascii="David" w:hAnsi="David" w:hint="cs"/>
          <w:rtl/>
        </w:rPr>
        <w:tab/>
      </w:r>
      <w:r w:rsidRPr="00025C64">
        <w:rPr>
          <w:rFonts w:ascii="David" w:hAnsi="David" w:hint="cs"/>
          <w:b/>
          <w:bCs/>
          <w:u w:val="single"/>
          <w:rtl/>
        </w:rPr>
        <w:t>המשמעות האופרטיבי</w:t>
      </w:r>
      <w:r>
        <w:rPr>
          <w:rFonts w:ascii="David" w:hAnsi="David" w:hint="cs"/>
          <w:b/>
          <w:bCs/>
          <w:u w:val="single"/>
          <w:rtl/>
        </w:rPr>
        <w:t>ת</w:t>
      </w:r>
      <w:r w:rsidRPr="00025C64">
        <w:rPr>
          <w:rFonts w:ascii="David" w:hAnsi="David" w:hint="cs"/>
          <w:b/>
          <w:bCs/>
          <w:u w:val="single"/>
          <w:rtl/>
        </w:rPr>
        <w:t xml:space="preserve"> של פסק הדין בערעור זה, ככל שדעתי תתקבל, היא כדלקמן</w:t>
      </w:r>
      <w:r>
        <w:rPr>
          <w:rFonts w:ascii="David" w:hAnsi="David" w:hint="cs"/>
          <w:rtl/>
        </w:rPr>
        <w:t>:</w:t>
      </w:r>
    </w:p>
    <w:p w:rsidR="009A3EDE" w:rsidRDefault="009A3EDE" w:rsidP="009A3EDE">
      <w:pPr>
        <w:spacing w:after="120" w:line="360" w:lineRule="auto"/>
        <w:ind w:left="1440" w:hanging="720"/>
        <w:jc w:val="both"/>
        <w:rPr>
          <w:rFonts w:ascii="David" w:hAnsi="David"/>
          <w:rtl/>
        </w:rPr>
      </w:pPr>
      <w:r>
        <w:rPr>
          <w:rFonts w:ascii="David" w:hAnsi="David" w:hint="cs"/>
          <w:rtl/>
        </w:rPr>
        <w:t>א.</w:t>
      </w:r>
      <w:r>
        <w:rPr>
          <w:rFonts w:ascii="David" w:hAnsi="David" w:hint="cs"/>
          <w:rtl/>
        </w:rPr>
        <w:tab/>
        <w:t xml:space="preserve">המערער ישלם למשיבה תוך 30 ימים מהיום את סכום הפיצוי הנזיקי, לאחר הפחתת האשם התורם, בסכום של 90,000 ₪, בצירוף סכום ההוצאות קמא בשיעור של 30,000 ₪. סך הכל 120,000 ₪, בצירוף הפרשי הצמדה וריבית כדין מיום מתן פסק הדין קמא (24.3.2024) ועד ליום התשלום המלא בפועל. </w:t>
      </w:r>
      <w:r>
        <w:rPr>
          <w:rFonts w:ascii="David" w:hAnsi="David"/>
          <w:rtl/>
        </w:rPr>
        <w:tab/>
      </w:r>
    </w:p>
    <w:p w:rsidR="009A3EDE" w:rsidRDefault="009A3EDE" w:rsidP="009A3EDE">
      <w:pPr>
        <w:spacing w:after="120" w:line="360" w:lineRule="auto"/>
        <w:ind w:left="1440" w:hanging="720"/>
        <w:jc w:val="both"/>
        <w:rPr>
          <w:rFonts w:ascii="David" w:hAnsi="David"/>
          <w:rtl/>
        </w:rPr>
      </w:pPr>
      <w:r>
        <w:rPr>
          <w:rFonts w:ascii="David" w:hAnsi="David" w:hint="cs"/>
          <w:rtl/>
        </w:rPr>
        <w:t>ב.</w:t>
      </w:r>
      <w:r>
        <w:rPr>
          <w:rFonts w:ascii="David" w:hAnsi="David" w:hint="cs"/>
          <w:rtl/>
        </w:rPr>
        <w:tab/>
        <w:t xml:space="preserve">המשיבה תישא בהוצאות המערער בערעור זה בשיעור של 15,000 ₪, הניתנים לקיזוז מסכום הפיצוי וההוצאות הנקובים בסעיף קטן א' לעיל. </w:t>
      </w:r>
    </w:p>
    <w:p w:rsidR="009A3EDE" w:rsidRDefault="009A3EDE" w:rsidP="009A3EDE">
      <w:pPr>
        <w:spacing w:after="120" w:line="360" w:lineRule="auto"/>
        <w:ind w:left="1440" w:hanging="720"/>
        <w:jc w:val="both"/>
        <w:rPr>
          <w:rFonts w:ascii="David" w:hAnsi="David"/>
          <w:rtl/>
        </w:rPr>
      </w:pPr>
      <w:r>
        <w:rPr>
          <w:rFonts w:ascii="David" w:hAnsi="David" w:hint="cs"/>
          <w:rtl/>
        </w:rPr>
        <w:t>ג.</w:t>
      </w:r>
      <w:r>
        <w:rPr>
          <w:rFonts w:ascii="David" w:hAnsi="David" w:hint="cs"/>
          <w:rtl/>
        </w:rPr>
        <w:tab/>
        <w:t>עירבון שהפקיד המערער בערעור זה, יושב לו באמצעות באת כוחו.</w:t>
      </w:r>
    </w:p>
    <w:p w:rsidR="00694556" w:rsidRPr="00C770E3" w:rsidRDefault="00694556">
      <w:pPr>
        <w:spacing w:line="360" w:lineRule="auto"/>
        <w:jc w:val="both"/>
        <w:rPr>
          <w:rFonts w:ascii="Arial" w:hAnsi="Arial"/>
          <w:noProof w:val="0"/>
          <w:rtl/>
        </w:rPr>
      </w:pPr>
    </w:p>
    <w:p w:rsidR="00694556" w:rsidRPr="009A3EDE" w:rsidRDefault="009A3EDE">
      <w:pPr>
        <w:spacing w:line="360" w:lineRule="auto"/>
        <w:jc w:val="both"/>
        <w:rPr>
          <w:rFonts w:ascii="Arial" w:hAnsi="Arial"/>
          <w:b/>
          <w:bCs/>
          <w:noProof w:val="0"/>
          <w:rtl/>
        </w:rPr>
      </w:pPr>
      <w:r w:rsidRPr="009A3EDE">
        <w:rPr>
          <w:rFonts w:ascii="Arial" w:hAnsi="Arial" w:hint="cs"/>
          <w:b/>
          <w:bCs/>
          <w:noProof w:val="0"/>
          <w:u w:val="single"/>
          <w:rtl/>
        </w:rPr>
        <w:t>השופטת אספרנצה אלון</w:t>
      </w:r>
      <w:r w:rsidRPr="009A3EDE">
        <w:rPr>
          <w:rFonts w:ascii="Arial" w:hAnsi="Arial" w:hint="cs"/>
          <w:b/>
          <w:bCs/>
          <w:noProof w:val="0"/>
          <w:rtl/>
        </w:rPr>
        <w:t>:</w:t>
      </w:r>
    </w:p>
    <w:p w:rsidR="009A3EDE" w:rsidRPr="004511A7" w:rsidRDefault="009A3EDE" w:rsidP="009A3EDE">
      <w:pPr>
        <w:rPr>
          <w:rFonts w:ascii="David" w:hAnsi="David"/>
          <w:rtl/>
        </w:rPr>
      </w:pPr>
    </w:p>
    <w:p w:rsidR="009A3EDE" w:rsidRDefault="009A3EDE" w:rsidP="009A3EDE">
      <w:pPr>
        <w:pStyle w:val="ad"/>
        <w:numPr>
          <w:ilvl w:val="0"/>
          <w:numId w:val="3"/>
        </w:numPr>
        <w:spacing w:line="360" w:lineRule="auto"/>
        <w:ind w:left="226"/>
        <w:jc w:val="both"/>
        <w:rPr>
          <w:rFonts w:ascii="David" w:hAnsi="David" w:cs="David"/>
          <w:sz w:val="24"/>
          <w:szCs w:val="24"/>
        </w:rPr>
      </w:pPr>
      <w:r>
        <w:rPr>
          <w:rFonts w:ascii="David" w:hAnsi="David" w:cs="David" w:hint="cs"/>
          <w:sz w:val="24"/>
          <w:szCs w:val="24"/>
          <w:rtl/>
        </w:rPr>
        <w:t xml:space="preserve">קראתי את פסק דינו של חברי האב"ד, כבוד השופט ח' שרעבי ואני סבורה שאין להתערב בפסק הדין קמא ויש לדחות את הערעור על כל חלקיו. </w:t>
      </w:r>
    </w:p>
    <w:p w:rsidR="009A3EDE" w:rsidRDefault="009A3EDE" w:rsidP="009A3EDE">
      <w:pPr>
        <w:pStyle w:val="ad"/>
        <w:spacing w:line="360" w:lineRule="auto"/>
        <w:ind w:left="226"/>
        <w:jc w:val="both"/>
        <w:rPr>
          <w:rFonts w:ascii="David" w:hAnsi="David" w:cs="David"/>
          <w:sz w:val="24"/>
          <w:szCs w:val="24"/>
        </w:rPr>
      </w:pPr>
    </w:p>
    <w:p w:rsidR="009A3EDE" w:rsidRPr="006C122A" w:rsidRDefault="009A3EDE" w:rsidP="009A3EDE">
      <w:pPr>
        <w:pStyle w:val="ad"/>
        <w:numPr>
          <w:ilvl w:val="0"/>
          <w:numId w:val="3"/>
        </w:numPr>
        <w:spacing w:line="360" w:lineRule="auto"/>
        <w:ind w:left="226"/>
        <w:jc w:val="both"/>
        <w:rPr>
          <w:rFonts w:ascii="David" w:eastAsia="Calibri" w:hAnsi="David" w:cs="David"/>
          <w:b/>
          <w:bCs/>
          <w:sz w:val="24"/>
          <w:szCs w:val="24"/>
        </w:rPr>
      </w:pPr>
      <w:r>
        <w:rPr>
          <w:rFonts w:ascii="David" w:hAnsi="David" w:cs="David" w:hint="cs"/>
          <w:sz w:val="24"/>
          <w:szCs w:val="24"/>
          <w:rtl/>
        </w:rPr>
        <w:t xml:space="preserve">אפתח באשם התורם בו ייחס בית משפט קמא לאם אשם תורם בשיעור של 25%. </w:t>
      </w:r>
      <w:r w:rsidRPr="001501AA">
        <w:rPr>
          <w:rFonts w:ascii="David" w:hAnsi="David" w:cs="David" w:hint="cs"/>
          <w:sz w:val="24"/>
          <w:szCs w:val="24"/>
          <w:rtl/>
        </w:rPr>
        <w:t xml:space="preserve">בית משפט קמא בחן את האשם התורם מצד האם בסעיפים 72-78 לפסק הדין קמא. בית משפט קמא ציין כי אין מחלוקת שהאם הייתה מעורבת </w:t>
      </w:r>
      <w:r w:rsidRPr="001501AA">
        <w:rPr>
          <w:rFonts w:ascii="David" w:hAnsi="David" w:cs="David" w:hint="cs"/>
          <w:sz w:val="24"/>
          <w:szCs w:val="24"/>
          <w:rtl/>
        </w:rPr>
        <w:lastRenderedPageBreak/>
        <w:t xml:space="preserve">מאוד בהליכים, יזמה הליכים שונים, טענה כי </w:t>
      </w:r>
      <w:r w:rsidR="00820F03">
        <w:rPr>
          <w:rFonts w:ascii="David" w:hAnsi="David" w:cs="David" w:hint="cs"/>
          <w:sz w:val="24"/>
          <w:szCs w:val="24"/>
          <w:rtl/>
        </w:rPr>
        <w:t>מ</w:t>
      </w:r>
      <w:r w:rsidR="00820F03">
        <w:rPr>
          <w:rFonts w:ascii="David" w:hAnsi="David" w:cs="David"/>
          <w:sz w:val="24"/>
          <w:szCs w:val="24"/>
          <w:rtl/>
        </w:rPr>
        <w:t>'</w:t>
      </w:r>
      <w:r w:rsidR="00820F03">
        <w:rPr>
          <w:rFonts w:ascii="David" w:hAnsi="David" w:cs="David" w:hint="cs"/>
          <w:sz w:val="24"/>
          <w:szCs w:val="24"/>
          <w:rtl/>
        </w:rPr>
        <w:t xml:space="preserve"> </w:t>
      </w:r>
      <w:r w:rsidRPr="001501AA">
        <w:rPr>
          <w:rFonts w:ascii="David" w:hAnsi="David" w:cs="David" w:hint="cs"/>
          <w:sz w:val="24"/>
          <w:szCs w:val="24"/>
          <w:rtl/>
        </w:rPr>
        <w:t xml:space="preserve">צריך טיפול ואף פעלה לצורך מתן טיפול, כולל אשפוז וטיפול פסיכיאטרי. האם אף סירבה להשתתף בחלק מהטיפולים ולא נראה כי </w:t>
      </w:r>
      <w:r>
        <w:rPr>
          <w:rFonts w:ascii="David" w:hAnsi="David" w:cs="David" w:hint="cs"/>
          <w:sz w:val="24"/>
          <w:szCs w:val="24"/>
          <w:rtl/>
        </w:rPr>
        <w:t xml:space="preserve">שינתה </w:t>
      </w:r>
      <w:r w:rsidRPr="001501AA">
        <w:rPr>
          <w:rFonts w:ascii="David" w:hAnsi="David" w:cs="David" w:hint="cs"/>
          <w:sz w:val="24"/>
          <w:szCs w:val="24"/>
          <w:rtl/>
        </w:rPr>
        <w:t>התנהלותה על פני שנים (סעיף 75 לפסק הדין קמא</w:t>
      </w:r>
      <w:r>
        <w:rPr>
          <w:rFonts w:ascii="David" w:hAnsi="David" w:cs="David" w:hint="cs"/>
          <w:sz w:val="24"/>
          <w:szCs w:val="24"/>
          <w:rtl/>
        </w:rPr>
        <w:t>)</w:t>
      </w:r>
      <w:r w:rsidRPr="001501AA">
        <w:rPr>
          <w:rFonts w:ascii="David" w:hAnsi="David" w:cs="David" w:hint="cs"/>
          <w:sz w:val="24"/>
          <w:szCs w:val="24"/>
          <w:rtl/>
        </w:rPr>
        <w:t>. בית משפט קמא קבע כי ניתן להבין את מצוקתה של האם</w:t>
      </w:r>
      <w:r>
        <w:rPr>
          <w:rFonts w:ascii="David" w:hAnsi="David" w:cs="David" w:hint="cs"/>
          <w:sz w:val="24"/>
          <w:szCs w:val="24"/>
          <w:rtl/>
        </w:rPr>
        <w:t>,</w:t>
      </w:r>
      <w:r w:rsidRPr="001501AA">
        <w:rPr>
          <w:rFonts w:ascii="David" w:hAnsi="David" w:cs="David" w:hint="cs"/>
          <w:sz w:val="24"/>
          <w:szCs w:val="24"/>
          <w:rtl/>
        </w:rPr>
        <w:t xml:space="preserve"> </w:t>
      </w:r>
      <w:r>
        <w:rPr>
          <w:rFonts w:ascii="David" w:hAnsi="David" w:cs="David" w:hint="cs"/>
          <w:sz w:val="24"/>
          <w:szCs w:val="24"/>
          <w:rtl/>
        </w:rPr>
        <w:t xml:space="preserve">אולם </w:t>
      </w:r>
      <w:r w:rsidRPr="001501AA">
        <w:rPr>
          <w:rFonts w:ascii="David" w:hAnsi="David" w:cs="David" w:hint="cs"/>
          <w:sz w:val="24"/>
          <w:szCs w:val="24"/>
          <w:rtl/>
        </w:rPr>
        <w:t xml:space="preserve">"דומני כי מדובר בהתנהלות אקטיבית ואף כוחנית, במידה מסוימת. יתכן ועל המצוקה והתסכול, גברה והחריפה התנהגותה של האם, אשר ציפתה לראות תוצאות, התאכזבה מהעדרן, עד כדי החרפת מצוקתה ואופן התנהלותה בהתאם." (סעיף 76 לפסק הדין קמא). </w:t>
      </w:r>
    </w:p>
    <w:p w:rsidR="009A3EDE" w:rsidRPr="006C122A" w:rsidRDefault="009A3EDE" w:rsidP="009A3EDE">
      <w:pPr>
        <w:pStyle w:val="ad"/>
        <w:rPr>
          <w:rFonts w:ascii="David" w:hAnsi="David" w:cs="David"/>
          <w:sz w:val="24"/>
          <w:szCs w:val="24"/>
          <w:rtl/>
        </w:rPr>
      </w:pPr>
    </w:p>
    <w:p w:rsidR="009A3EDE" w:rsidRPr="006C122A" w:rsidRDefault="009A3EDE" w:rsidP="009A3EDE">
      <w:pPr>
        <w:pStyle w:val="ad"/>
        <w:numPr>
          <w:ilvl w:val="0"/>
          <w:numId w:val="3"/>
        </w:numPr>
        <w:spacing w:line="360" w:lineRule="auto"/>
        <w:ind w:left="360"/>
        <w:jc w:val="both"/>
        <w:rPr>
          <w:rFonts w:ascii="David" w:eastAsia="Calibri" w:hAnsi="David" w:cs="David"/>
          <w:b/>
          <w:bCs/>
          <w:sz w:val="24"/>
          <w:szCs w:val="24"/>
          <w:rtl/>
        </w:rPr>
      </w:pPr>
      <w:r w:rsidRPr="006C122A">
        <w:rPr>
          <w:rFonts w:ascii="David" w:hAnsi="David" w:cs="David" w:hint="cs"/>
          <w:sz w:val="24"/>
          <w:szCs w:val="24"/>
          <w:rtl/>
        </w:rPr>
        <w:t xml:space="preserve">בהמשך, קובע בית משפט קמא כדלקמן: </w:t>
      </w:r>
    </w:p>
    <w:p w:rsidR="009A3EDE" w:rsidRDefault="009A3EDE" w:rsidP="00A6744A">
      <w:pPr>
        <w:tabs>
          <w:tab w:val="left" w:pos="7455"/>
        </w:tabs>
        <w:spacing w:line="360" w:lineRule="auto"/>
        <w:ind w:left="374" w:right="567"/>
        <w:contextualSpacing/>
        <w:jc w:val="both"/>
        <w:rPr>
          <w:rFonts w:ascii="David" w:hAnsi="David"/>
          <w:b/>
          <w:bCs/>
          <w:rtl/>
        </w:rPr>
      </w:pPr>
      <w:r w:rsidRPr="004511A7">
        <w:rPr>
          <w:rFonts w:ascii="David" w:eastAsia="Calibri" w:hAnsi="David" w:hint="cs"/>
          <w:b/>
          <w:bCs/>
          <w:rtl/>
        </w:rPr>
        <w:t>"</w:t>
      </w:r>
      <w:r w:rsidRPr="004511A7">
        <w:rPr>
          <w:rFonts w:ascii="David" w:eastAsia="Calibri" w:hAnsi="David"/>
          <w:b/>
          <w:bCs/>
          <w:rtl/>
        </w:rPr>
        <w:t xml:space="preserve">77. הנזק שנוצר הוא הנזק אשר על פי השכל הישר היה צריך למנעו מראש. מצאתי כי האם עצמה התרשלה בכך שלא נקטה באמצעים אקטיביים למניעת הנזק ולמצער להקטנתו. כך לדוגמא לא הגישה תביעת לאכיפת משמורת, או קביעת סנקציות בגין הפרת זמני שהות, לא נמנעה </w:t>
      </w:r>
      <w:r w:rsidRPr="004511A7">
        <w:rPr>
          <w:rFonts w:ascii="David" w:hAnsi="David"/>
          <w:b/>
          <w:bCs/>
          <w:rtl/>
        </w:rPr>
        <w:t>ממפגשים שיצרו אירועי אלימות נוספים. לא נמנעה מנקיטה הליך נזקקות, שלא הניב דבר במבחן התוצאה. בנוסף, יש לזכור כי בשנת 2015, נקבע בפסק דין שניתן על ידי הש' ברגר,  כי אין להבחין בין מידת אשמתם של שני ההורים. (ראו: ציטוטים תחת השאלה האם הופרה חובת הזהירות). יש להדגיש כי האב לא נרתם באמת להליך חידוש הקשר עדותו לפניי לא מתירה ספק הוא לא הפנים את הנזק הנגרם ל</w:t>
      </w:r>
      <w:r w:rsidR="00820F03">
        <w:rPr>
          <w:rFonts w:ascii="David" w:hAnsi="David"/>
          <w:b/>
          <w:bCs/>
          <w:rtl/>
        </w:rPr>
        <w:t xml:space="preserve">מ' </w:t>
      </w:r>
      <w:r w:rsidRPr="004511A7">
        <w:rPr>
          <w:rFonts w:ascii="David" w:hAnsi="David"/>
          <w:b/>
          <w:bCs/>
          <w:rtl/>
        </w:rPr>
        <w:t xml:space="preserve">ולא רק לאם, לא למותר לציין כי  באירועים שונים נתן גיבוי להתנהגות </w:t>
      </w:r>
      <w:r w:rsidR="00820F03">
        <w:rPr>
          <w:rFonts w:ascii="David" w:hAnsi="David"/>
          <w:b/>
          <w:bCs/>
          <w:rtl/>
        </w:rPr>
        <w:t xml:space="preserve">מ' </w:t>
      </w:r>
      <w:r w:rsidRPr="004511A7">
        <w:rPr>
          <w:rFonts w:ascii="David" w:hAnsi="David"/>
          <w:b/>
          <w:bCs/>
          <w:rtl/>
        </w:rPr>
        <w:t>האלימה ומבזה כלפי אמו, חרף הכחשתו בחקירתו לפניי לתגובתו התומכת באלימות כלפי האם</w:t>
      </w:r>
      <w:r w:rsidRPr="004511A7">
        <w:rPr>
          <w:rFonts w:ascii="David" w:hAnsi="David" w:hint="cs"/>
          <w:b/>
          <w:bCs/>
          <w:rtl/>
        </w:rPr>
        <w:t xml:space="preserve"> </w:t>
      </w:r>
      <w:r w:rsidRPr="004511A7">
        <w:rPr>
          <w:rFonts w:ascii="David" w:hAnsi="David"/>
          <w:b/>
          <w:bCs/>
          <w:rtl/>
        </w:rPr>
        <w:t>- עת התנגשות בין האם ל</w:t>
      </w:r>
      <w:r w:rsidR="00820F03">
        <w:rPr>
          <w:rFonts w:ascii="David" w:hAnsi="David"/>
          <w:b/>
          <w:bCs/>
          <w:rtl/>
        </w:rPr>
        <w:t xml:space="preserve">מ' </w:t>
      </w:r>
      <w:r w:rsidRPr="004511A7">
        <w:rPr>
          <w:rFonts w:ascii="David" w:hAnsi="David"/>
          <w:b/>
          <w:bCs/>
          <w:rtl/>
        </w:rPr>
        <w:t xml:space="preserve">במשרד הפנים, הרי באירוע אחר </w:t>
      </w:r>
      <w:r w:rsidR="00820F03">
        <w:rPr>
          <w:rFonts w:ascii="David" w:hAnsi="David"/>
          <w:b/>
          <w:bCs/>
          <w:rtl/>
        </w:rPr>
        <w:t xml:space="preserve">מ' </w:t>
      </w:r>
      <w:r w:rsidRPr="004511A7">
        <w:rPr>
          <w:rFonts w:ascii="David" w:hAnsi="David"/>
          <w:b/>
          <w:bCs/>
          <w:rtl/>
        </w:rPr>
        <w:t xml:space="preserve">ירק על אמו והאב לא הגיב וזה הובא הפעם מפי  העו"ס שמציינת זאת בדו"ח מטעמה (ראו: נספח 12 לכתב התביעה). הצהרת האב לא פעם כי </w:t>
      </w:r>
      <w:r w:rsidR="00820F03">
        <w:rPr>
          <w:rFonts w:ascii="David" w:hAnsi="David"/>
          <w:b/>
          <w:bCs/>
          <w:rtl/>
        </w:rPr>
        <w:t xml:space="preserve">מ' </w:t>
      </w:r>
      <w:r w:rsidRPr="004511A7">
        <w:rPr>
          <w:rFonts w:ascii="David" w:hAnsi="David"/>
          <w:b/>
          <w:bCs/>
          <w:rtl/>
        </w:rPr>
        <w:t xml:space="preserve">אינו זקוק לדמות האם </w:t>
      </w:r>
      <w:r w:rsidRPr="004511A7">
        <w:rPr>
          <w:rFonts w:ascii="David" w:hAnsi="David" w:hint="cs"/>
          <w:b/>
          <w:bCs/>
          <w:rtl/>
        </w:rPr>
        <w:t>-</w:t>
      </w:r>
      <w:r w:rsidRPr="004511A7">
        <w:rPr>
          <w:rFonts w:ascii="David" w:hAnsi="David"/>
          <w:b/>
          <w:bCs/>
          <w:rtl/>
        </w:rPr>
        <w:t xml:space="preserve"> רק מעידה על תרומתו והשפעתו העמוקה שגרמה להימשכות הנתק ולנזק שהותר באם </w:t>
      </w:r>
      <w:r w:rsidR="00A6744A">
        <w:rPr>
          <w:rFonts w:ascii="David" w:hAnsi="David" w:hint="cs"/>
          <w:b/>
          <w:bCs/>
          <w:rtl/>
        </w:rPr>
        <w:t>וב-מ'</w:t>
      </w:r>
      <w:r w:rsidRPr="004511A7">
        <w:rPr>
          <w:rFonts w:ascii="David" w:hAnsi="David"/>
          <w:b/>
          <w:bCs/>
          <w:rtl/>
        </w:rPr>
        <w:t>.</w:t>
      </w:r>
    </w:p>
    <w:p w:rsidR="009A3EDE" w:rsidRPr="002373A6" w:rsidRDefault="009A3EDE" w:rsidP="009A3EDE">
      <w:pPr>
        <w:tabs>
          <w:tab w:val="left" w:pos="7455"/>
        </w:tabs>
        <w:spacing w:line="360" w:lineRule="auto"/>
        <w:ind w:left="720" w:right="567"/>
        <w:contextualSpacing/>
        <w:jc w:val="both"/>
        <w:rPr>
          <w:rFonts w:ascii="David" w:hAnsi="David"/>
        </w:rPr>
      </w:pPr>
      <w:r>
        <w:rPr>
          <w:rFonts w:ascii="David" w:hAnsi="David" w:hint="cs"/>
          <w:b/>
          <w:bCs/>
          <w:rtl/>
        </w:rPr>
        <w:t xml:space="preserve"> </w:t>
      </w:r>
    </w:p>
    <w:p w:rsidR="009A3EDE" w:rsidRPr="004511A7" w:rsidRDefault="009A3EDE" w:rsidP="009A3EDE">
      <w:pPr>
        <w:pStyle w:val="ad"/>
        <w:numPr>
          <w:ilvl w:val="0"/>
          <w:numId w:val="3"/>
        </w:numPr>
        <w:spacing w:after="120" w:line="360" w:lineRule="auto"/>
        <w:ind w:left="226"/>
        <w:contextualSpacing w:val="0"/>
        <w:jc w:val="both"/>
        <w:rPr>
          <w:rFonts w:ascii="David" w:hAnsi="David" w:cs="David"/>
          <w:sz w:val="24"/>
          <w:szCs w:val="24"/>
          <w:rtl/>
        </w:rPr>
      </w:pPr>
      <w:r>
        <w:rPr>
          <w:rFonts w:ascii="David" w:hAnsi="David" w:cs="David" w:hint="cs"/>
          <w:sz w:val="24"/>
          <w:szCs w:val="24"/>
          <w:rtl/>
        </w:rPr>
        <w:t>אסכם,</w:t>
      </w:r>
      <w:r w:rsidRPr="004511A7">
        <w:rPr>
          <w:rFonts w:ascii="David" w:hAnsi="David" w:cs="David" w:hint="cs"/>
          <w:sz w:val="24"/>
          <w:szCs w:val="24"/>
          <w:rtl/>
        </w:rPr>
        <w:t xml:space="preserve"> בית משפט קמא מצא כי האם נושאת באשם תורם בשיעור של 25% בקרות הנזק, זאת </w:t>
      </w:r>
      <w:r>
        <w:rPr>
          <w:rFonts w:ascii="David" w:hAnsi="David" w:cs="David" w:hint="cs"/>
          <w:sz w:val="24"/>
          <w:szCs w:val="24"/>
          <w:rtl/>
        </w:rPr>
        <w:t xml:space="preserve">בשל כך שלא </w:t>
      </w:r>
      <w:r w:rsidRPr="004511A7">
        <w:rPr>
          <w:rFonts w:ascii="David" w:hAnsi="David" w:cs="David"/>
          <w:sz w:val="24"/>
          <w:szCs w:val="24"/>
          <w:rtl/>
        </w:rPr>
        <w:t xml:space="preserve">נקטה </w:t>
      </w:r>
      <w:r w:rsidRPr="004511A7">
        <w:rPr>
          <w:rFonts w:ascii="David" w:hAnsi="David" w:cs="David" w:hint="cs"/>
          <w:sz w:val="24"/>
          <w:szCs w:val="24"/>
          <w:rtl/>
        </w:rPr>
        <w:t xml:space="preserve">פעולות </w:t>
      </w:r>
      <w:r w:rsidRPr="004511A7">
        <w:rPr>
          <w:rFonts w:ascii="David" w:hAnsi="David" w:cs="David"/>
          <w:sz w:val="24"/>
          <w:szCs w:val="24"/>
          <w:rtl/>
        </w:rPr>
        <w:t>למניעת הנזק ולמצער להקטנתו</w:t>
      </w:r>
      <w:r w:rsidRPr="004511A7">
        <w:rPr>
          <w:rFonts w:ascii="David" w:hAnsi="David" w:cs="David" w:hint="cs"/>
          <w:sz w:val="24"/>
          <w:szCs w:val="24"/>
          <w:rtl/>
        </w:rPr>
        <w:t xml:space="preserve">, </w:t>
      </w:r>
      <w:r>
        <w:rPr>
          <w:rFonts w:ascii="David" w:hAnsi="David" w:cs="David" w:hint="cs"/>
          <w:sz w:val="24"/>
          <w:szCs w:val="24"/>
          <w:rtl/>
        </w:rPr>
        <w:t>בעניינים הבאים</w:t>
      </w:r>
      <w:r w:rsidRPr="004511A7">
        <w:rPr>
          <w:rFonts w:ascii="David" w:hAnsi="David" w:cs="David" w:hint="cs"/>
          <w:sz w:val="24"/>
          <w:szCs w:val="24"/>
          <w:rtl/>
        </w:rPr>
        <w:t>:</w:t>
      </w:r>
    </w:p>
    <w:p w:rsidR="009A3EDE" w:rsidRPr="004511A7" w:rsidRDefault="009A3EDE" w:rsidP="009A3EDE">
      <w:pPr>
        <w:spacing w:after="120" w:line="360" w:lineRule="auto"/>
        <w:ind w:firstLine="226"/>
        <w:rPr>
          <w:rFonts w:ascii="David" w:hAnsi="David"/>
          <w:rtl/>
        </w:rPr>
      </w:pPr>
      <w:r w:rsidRPr="004511A7">
        <w:rPr>
          <w:rFonts w:ascii="David" w:hAnsi="David" w:hint="cs"/>
          <w:rtl/>
        </w:rPr>
        <w:t xml:space="preserve">א. </w:t>
      </w:r>
      <w:r w:rsidRPr="004511A7">
        <w:rPr>
          <w:rFonts w:ascii="David" w:hAnsi="David"/>
          <w:rtl/>
        </w:rPr>
        <w:t>לא הגישה תביעת לאכיפת משמורת, או קביעת סנקציות בגין הפרת זמני שהות</w:t>
      </w:r>
      <w:r w:rsidRPr="004511A7">
        <w:rPr>
          <w:rFonts w:ascii="David" w:hAnsi="David" w:hint="cs"/>
          <w:rtl/>
        </w:rPr>
        <w:t>;</w:t>
      </w:r>
    </w:p>
    <w:p w:rsidR="009A3EDE" w:rsidRPr="004511A7" w:rsidRDefault="009A3EDE" w:rsidP="009A3EDE">
      <w:pPr>
        <w:spacing w:after="120" w:line="360" w:lineRule="auto"/>
        <w:ind w:firstLine="226"/>
        <w:rPr>
          <w:rFonts w:ascii="David" w:hAnsi="David"/>
          <w:rtl/>
        </w:rPr>
      </w:pPr>
      <w:r w:rsidRPr="004511A7">
        <w:rPr>
          <w:rFonts w:ascii="David" w:hAnsi="David" w:hint="cs"/>
          <w:rtl/>
        </w:rPr>
        <w:t xml:space="preserve">ב. </w:t>
      </w:r>
      <w:r w:rsidRPr="004511A7">
        <w:rPr>
          <w:rFonts w:ascii="David" w:hAnsi="David"/>
          <w:rtl/>
        </w:rPr>
        <w:t>לא נמנעה ממפגשים שיצרו אירועי אלימות נוספים</w:t>
      </w:r>
      <w:r w:rsidRPr="004511A7">
        <w:rPr>
          <w:rFonts w:ascii="David" w:hAnsi="David" w:hint="cs"/>
          <w:rtl/>
        </w:rPr>
        <w:t>;</w:t>
      </w:r>
    </w:p>
    <w:p w:rsidR="009A3EDE" w:rsidRPr="004511A7" w:rsidRDefault="009A3EDE" w:rsidP="009A3EDE">
      <w:pPr>
        <w:spacing w:after="120" w:line="360" w:lineRule="auto"/>
        <w:ind w:firstLine="226"/>
        <w:rPr>
          <w:rFonts w:ascii="David" w:hAnsi="David"/>
          <w:rtl/>
        </w:rPr>
      </w:pPr>
      <w:r w:rsidRPr="004511A7">
        <w:rPr>
          <w:rFonts w:ascii="David" w:hAnsi="David" w:hint="cs"/>
          <w:rtl/>
        </w:rPr>
        <w:t xml:space="preserve">ג. </w:t>
      </w:r>
      <w:r w:rsidRPr="004511A7">
        <w:rPr>
          <w:rFonts w:ascii="David" w:hAnsi="David"/>
          <w:rtl/>
        </w:rPr>
        <w:t>לא נמנעה מנקיטה הליך נזקקות, שלא הניב דבר במבחן התוצאה</w:t>
      </w:r>
      <w:r w:rsidRPr="004511A7">
        <w:rPr>
          <w:rFonts w:ascii="David" w:hAnsi="David" w:hint="cs"/>
          <w:rtl/>
        </w:rPr>
        <w:t xml:space="preserve">; </w:t>
      </w:r>
    </w:p>
    <w:p w:rsidR="009A3EDE" w:rsidRDefault="009A3EDE" w:rsidP="009A3EDE">
      <w:pPr>
        <w:spacing w:after="120" w:line="360" w:lineRule="auto"/>
        <w:ind w:right="-142" w:firstLine="226"/>
        <w:rPr>
          <w:rFonts w:ascii="David" w:hAnsi="David"/>
          <w:rtl/>
        </w:rPr>
      </w:pPr>
      <w:r w:rsidRPr="004511A7">
        <w:rPr>
          <w:rFonts w:ascii="David" w:hAnsi="David" w:hint="cs"/>
          <w:rtl/>
        </w:rPr>
        <w:t xml:space="preserve">ד. </w:t>
      </w:r>
      <w:r w:rsidRPr="004511A7">
        <w:rPr>
          <w:rFonts w:ascii="David" w:hAnsi="David"/>
          <w:rtl/>
        </w:rPr>
        <w:t>בשנת 2015</w:t>
      </w:r>
      <w:r w:rsidRPr="004511A7">
        <w:rPr>
          <w:rFonts w:ascii="David" w:hAnsi="David" w:hint="cs"/>
          <w:rtl/>
        </w:rPr>
        <w:t xml:space="preserve"> </w:t>
      </w:r>
      <w:r w:rsidRPr="004511A7">
        <w:rPr>
          <w:rFonts w:ascii="David" w:hAnsi="David"/>
          <w:rtl/>
        </w:rPr>
        <w:t xml:space="preserve">נקבע בפסק דין </w:t>
      </w:r>
      <w:r w:rsidRPr="004511A7">
        <w:rPr>
          <w:rFonts w:ascii="David" w:hAnsi="David" w:hint="cs"/>
          <w:rtl/>
        </w:rPr>
        <w:t xml:space="preserve">(כב' </w:t>
      </w:r>
      <w:r w:rsidRPr="004511A7">
        <w:rPr>
          <w:rFonts w:ascii="David" w:hAnsi="David"/>
          <w:rtl/>
        </w:rPr>
        <w:t>הש</w:t>
      </w:r>
      <w:r w:rsidRPr="004511A7">
        <w:rPr>
          <w:rFonts w:ascii="David" w:hAnsi="David" w:hint="cs"/>
          <w:rtl/>
        </w:rPr>
        <w:t>'</w:t>
      </w:r>
      <w:r w:rsidRPr="004511A7">
        <w:rPr>
          <w:rFonts w:ascii="David" w:hAnsi="David"/>
          <w:rtl/>
        </w:rPr>
        <w:t xml:space="preserve"> ברגר</w:t>
      </w:r>
      <w:r w:rsidRPr="004511A7">
        <w:rPr>
          <w:rFonts w:ascii="David" w:hAnsi="David" w:hint="cs"/>
          <w:rtl/>
        </w:rPr>
        <w:t>)</w:t>
      </w:r>
      <w:r w:rsidRPr="004511A7">
        <w:rPr>
          <w:rFonts w:ascii="David" w:hAnsi="David"/>
          <w:rtl/>
        </w:rPr>
        <w:t xml:space="preserve"> כי אין להבחין בין מידת אשמתם של שני ההורים.</w:t>
      </w:r>
    </w:p>
    <w:p w:rsidR="009A3EDE" w:rsidRPr="006576E5" w:rsidRDefault="009A3EDE" w:rsidP="009A3EDE">
      <w:pPr>
        <w:ind w:right="-142" w:firstLine="226"/>
        <w:rPr>
          <w:rFonts w:ascii="David" w:hAnsi="David"/>
          <w:rtl/>
        </w:rPr>
      </w:pPr>
    </w:p>
    <w:p w:rsidR="009A3EDE" w:rsidRDefault="009A3EDE" w:rsidP="009A3EDE">
      <w:pPr>
        <w:pStyle w:val="ad"/>
        <w:numPr>
          <w:ilvl w:val="0"/>
          <w:numId w:val="3"/>
        </w:numPr>
        <w:spacing w:line="360" w:lineRule="auto"/>
        <w:ind w:left="226"/>
        <w:jc w:val="both"/>
        <w:rPr>
          <w:rFonts w:ascii="David" w:hAnsi="David" w:cs="David"/>
          <w:sz w:val="24"/>
          <w:szCs w:val="24"/>
        </w:rPr>
      </w:pPr>
      <w:r w:rsidRPr="00CE3434">
        <w:rPr>
          <w:rFonts w:ascii="David" w:hAnsi="David" w:cs="David" w:hint="cs"/>
          <w:sz w:val="24"/>
          <w:szCs w:val="24"/>
          <w:rtl/>
        </w:rPr>
        <w:t>אכן האם נמנעה מלהגיש תביעה לאכיפת משמורת, ו/או בקשה לקביעת סנקציות בגין הפרת זמני השהות. על חשיב</w:t>
      </w:r>
      <w:r>
        <w:rPr>
          <w:rFonts w:ascii="David" w:hAnsi="David" w:cs="David" w:hint="cs"/>
          <w:sz w:val="24"/>
          <w:szCs w:val="24"/>
          <w:rtl/>
        </w:rPr>
        <w:t xml:space="preserve">ות הטיפול והתגובה בסמוך לתחילת </w:t>
      </w:r>
      <w:r w:rsidRPr="00CE3434">
        <w:rPr>
          <w:rFonts w:ascii="David" w:hAnsi="David" w:cs="David" w:hint="cs"/>
          <w:sz w:val="24"/>
          <w:szCs w:val="24"/>
          <w:rtl/>
        </w:rPr>
        <w:t>ניכור הורי ניתן להקיש וללמוד מ</w:t>
      </w:r>
      <w:r w:rsidRPr="00CE3434">
        <w:rPr>
          <w:rFonts w:ascii="David" w:hAnsi="David" w:cs="David"/>
          <w:sz w:val="24"/>
          <w:szCs w:val="24"/>
          <w:rtl/>
        </w:rPr>
        <w:t>נוהל הנשיאה</w:t>
      </w:r>
      <w:r w:rsidRPr="00CE3434">
        <w:rPr>
          <w:rFonts w:ascii="David" w:hAnsi="David" w:cs="David" w:hint="cs"/>
          <w:sz w:val="24"/>
          <w:szCs w:val="24"/>
          <w:rtl/>
        </w:rPr>
        <w:t xml:space="preserve">. אמנם, נוהל זה לא היה קיים במועד הרלוונטי אך הרציונל הגלום בו: </w:t>
      </w:r>
      <w:r w:rsidRPr="00CE3434">
        <w:rPr>
          <w:rFonts w:ascii="David" w:hAnsi="David" w:cs="David"/>
          <w:b/>
          <w:bCs/>
          <w:sz w:val="24"/>
          <w:szCs w:val="24"/>
          <w:rtl/>
        </w:rPr>
        <w:t>"בכל מקרה של פגיעה בקשר בין הורים לילדיהם ובשל החשש להתפתחותו הרגשית התקינה</w:t>
      </w:r>
      <w:r w:rsidRPr="00CE3434">
        <w:rPr>
          <w:rFonts w:ascii="David" w:hAnsi="David" w:cs="David" w:hint="cs"/>
          <w:b/>
          <w:bCs/>
          <w:sz w:val="24"/>
          <w:szCs w:val="24"/>
          <w:rtl/>
        </w:rPr>
        <w:t xml:space="preserve"> </w:t>
      </w:r>
      <w:r w:rsidRPr="00CE3434">
        <w:rPr>
          <w:rFonts w:ascii="David" w:hAnsi="David" w:cs="David"/>
          <w:b/>
          <w:bCs/>
          <w:sz w:val="24"/>
          <w:szCs w:val="24"/>
          <w:rtl/>
        </w:rPr>
        <w:t>של הילד,</w:t>
      </w:r>
      <w:r w:rsidRPr="00CE3434">
        <w:rPr>
          <w:rFonts w:ascii="David" w:hAnsi="David" w:cs="David" w:hint="cs"/>
          <w:b/>
          <w:bCs/>
          <w:sz w:val="24"/>
          <w:szCs w:val="24"/>
          <w:rtl/>
        </w:rPr>
        <w:t xml:space="preserve"> לממד הזמן חשיבות והשפעה מכרעת </w:t>
      </w:r>
      <w:r w:rsidRPr="00CE3434">
        <w:rPr>
          <w:rFonts w:ascii="David" w:hAnsi="David" w:cs="David"/>
          <w:b/>
          <w:bCs/>
          <w:sz w:val="24"/>
          <w:szCs w:val="24"/>
          <w:rtl/>
        </w:rPr>
        <w:t xml:space="preserve">על התמודדות והתערבות יעילים בבעיות בקשר שבין הורים לילדיהם הקטינים. לפיכך, הליכים משפטיים המעלים חשש לפגיעה בקשר בין </w:t>
      </w:r>
      <w:r w:rsidRPr="00CE3434">
        <w:rPr>
          <w:rFonts w:ascii="David" w:hAnsi="David" w:cs="David"/>
          <w:b/>
          <w:bCs/>
          <w:sz w:val="24"/>
          <w:szCs w:val="24"/>
          <w:rtl/>
        </w:rPr>
        <w:lastRenderedPageBreak/>
        <w:t xml:space="preserve">הורים לילדיהם </w:t>
      </w:r>
      <w:r w:rsidRPr="00CE3434">
        <w:rPr>
          <w:rFonts w:ascii="David" w:hAnsi="David" w:cs="David" w:hint="cs"/>
          <w:b/>
          <w:bCs/>
          <w:sz w:val="24"/>
          <w:szCs w:val="24"/>
          <w:rtl/>
        </w:rPr>
        <w:t>[</w:t>
      </w:r>
      <w:r w:rsidRPr="00CE3434">
        <w:rPr>
          <w:rFonts w:ascii="David" w:hAnsi="David" w:cs="David"/>
          <w:b/>
          <w:bCs/>
          <w:sz w:val="24"/>
          <w:szCs w:val="24"/>
          <w:rtl/>
        </w:rPr>
        <w:t>...</w:t>
      </w:r>
      <w:r w:rsidRPr="00CE3434">
        <w:rPr>
          <w:rFonts w:ascii="David" w:hAnsi="David" w:cs="David" w:hint="cs"/>
          <w:b/>
          <w:bCs/>
          <w:sz w:val="24"/>
          <w:szCs w:val="24"/>
          <w:rtl/>
        </w:rPr>
        <w:t>]</w:t>
      </w:r>
      <w:r w:rsidRPr="00CE3434">
        <w:rPr>
          <w:rFonts w:ascii="David" w:hAnsi="David" w:cs="David"/>
          <w:b/>
          <w:bCs/>
          <w:sz w:val="24"/>
          <w:szCs w:val="24"/>
          <w:rtl/>
        </w:rPr>
        <w:t xml:space="preserve"> מחייבים מתן מענה ראשוני, יעיל ומהיר מצד בתי המשפט לענייני משפחה</w:t>
      </w:r>
      <w:r w:rsidRPr="00CE3434">
        <w:rPr>
          <w:rFonts w:ascii="David" w:hAnsi="David" w:cs="David" w:hint="cs"/>
          <w:b/>
          <w:bCs/>
          <w:sz w:val="24"/>
          <w:szCs w:val="24"/>
          <w:rtl/>
        </w:rPr>
        <w:t xml:space="preserve"> [</w:t>
      </w:r>
      <w:r w:rsidRPr="00CE3434">
        <w:rPr>
          <w:rFonts w:ascii="David" w:hAnsi="David" w:cs="David"/>
          <w:b/>
          <w:bCs/>
          <w:sz w:val="24"/>
          <w:szCs w:val="24"/>
          <w:rtl/>
        </w:rPr>
        <w:t>...</w:t>
      </w:r>
      <w:r>
        <w:rPr>
          <w:rFonts w:ascii="David" w:hAnsi="David" w:cs="David" w:hint="cs"/>
          <w:b/>
          <w:bCs/>
          <w:sz w:val="24"/>
          <w:szCs w:val="24"/>
          <w:rtl/>
        </w:rPr>
        <w:t>]</w:t>
      </w:r>
      <w:r w:rsidRPr="00CE3434">
        <w:rPr>
          <w:rFonts w:ascii="David" w:hAnsi="David" w:cs="David" w:hint="cs"/>
          <w:b/>
          <w:bCs/>
          <w:sz w:val="24"/>
          <w:szCs w:val="24"/>
          <w:rtl/>
        </w:rPr>
        <w:t>"</w:t>
      </w:r>
      <w:r w:rsidRPr="00CE3434">
        <w:rPr>
          <w:rFonts w:ascii="David" w:hAnsi="David" w:cs="David" w:hint="cs"/>
          <w:sz w:val="24"/>
          <w:szCs w:val="24"/>
          <w:rtl/>
        </w:rPr>
        <w:t xml:space="preserve"> היה גם אז מוטל על כתפי האם </w:t>
      </w:r>
      <w:r>
        <w:rPr>
          <w:rFonts w:ascii="David" w:hAnsi="David" w:cs="David" w:hint="cs"/>
          <w:sz w:val="24"/>
          <w:szCs w:val="24"/>
          <w:rtl/>
        </w:rPr>
        <w:t xml:space="preserve">ובעניין זה מסכימה אני עם בית משפט קמא. </w:t>
      </w:r>
    </w:p>
    <w:p w:rsidR="009A3EDE" w:rsidRPr="00CE3434" w:rsidRDefault="009A3EDE" w:rsidP="009A3EDE">
      <w:pPr>
        <w:pStyle w:val="ad"/>
        <w:spacing w:line="360" w:lineRule="auto"/>
        <w:ind w:left="226"/>
        <w:jc w:val="both"/>
        <w:rPr>
          <w:rFonts w:ascii="David" w:hAnsi="David" w:cs="David"/>
          <w:sz w:val="24"/>
          <w:szCs w:val="24"/>
        </w:rPr>
      </w:pPr>
    </w:p>
    <w:p w:rsidR="009A3EDE" w:rsidRPr="00CE3434" w:rsidRDefault="009A3EDE" w:rsidP="00A6744A">
      <w:pPr>
        <w:pStyle w:val="ad"/>
        <w:numPr>
          <w:ilvl w:val="0"/>
          <w:numId w:val="3"/>
        </w:numPr>
        <w:spacing w:line="360" w:lineRule="auto"/>
        <w:ind w:left="226"/>
        <w:jc w:val="both"/>
        <w:rPr>
          <w:rFonts w:ascii="David" w:hAnsi="David" w:cs="David"/>
          <w:sz w:val="24"/>
          <w:szCs w:val="24"/>
          <w:rtl/>
        </w:rPr>
      </w:pPr>
      <w:r w:rsidRPr="004511A7">
        <w:rPr>
          <w:rFonts w:ascii="David" w:hAnsi="David" w:cs="David" w:hint="cs"/>
          <w:sz w:val="24"/>
          <w:szCs w:val="24"/>
          <w:rtl/>
        </w:rPr>
        <w:t>באשר לאחריות האם אשר כאמור</w:t>
      </w:r>
      <w:r w:rsidRPr="004511A7">
        <w:rPr>
          <w:rFonts w:ascii="David" w:hAnsi="David" w:cs="David"/>
          <w:sz w:val="24"/>
          <w:szCs w:val="24"/>
          <w:rtl/>
        </w:rPr>
        <w:t xml:space="preserve"> לא נמנעה ממפגשים שיצרו אירועי אלימות נוספי</w:t>
      </w:r>
      <w:r w:rsidRPr="004511A7">
        <w:rPr>
          <w:rFonts w:ascii="David" w:hAnsi="David" w:cs="David" w:hint="cs"/>
          <w:sz w:val="24"/>
          <w:szCs w:val="24"/>
          <w:rtl/>
        </w:rPr>
        <w:t xml:space="preserve">ם, באם עסקינן באירועים שתוארו בהליך ה"ט </w:t>
      </w:r>
      <w:r w:rsidR="00A6744A">
        <w:rPr>
          <w:rFonts w:ascii="David" w:hAnsi="David" w:cs="David" w:hint="cs"/>
          <w:sz w:val="24"/>
          <w:szCs w:val="24"/>
          <w:rtl/>
        </w:rPr>
        <w:t>00000</w:t>
      </w:r>
      <w:r w:rsidRPr="004511A7">
        <w:rPr>
          <w:rFonts w:ascii="David" w:hAnsi="David" w:cs="David" w:hint="cs"/>
          <w:sz w:val="24"/>
          <w:szCs w:val="24"/>
          <w:rtl/>
        </w:rPr>
        <w:t>-</w:t>
      </w:r>
      <w:r w:rsidR="00A6744A">
        <w:rPr>
          <w:rFonts w:ascii="David" w:hAnsi="David" w:cs="David" w:hint="cs"/>
          <w:sz w:val="24"/>
          <w:szCs w:val="24"/>
          <w:rtl/>
        </w:rPr>
        <w:t>00</w:t>
      </w:r>
      <w:r w:rsidRPr="004511A7">
        <w:rPr>
          <w:rFonts w:ascii="David" w:hAnsi="David" w:cs="David" w:hint="cs"/>
          <w:sz w:val="24"/>
          <w:szCs w:val="24"/>
          <w:rtl/>
        </w:rPr>
        <w:t xml:space="preserve">-15, </w:t>
      </w:r>
      <w:r>
        <w:rPr>
          <w:rFonts w:ascii="David" w:hAnsi="David" w:cs="David" w:hint="cs"/>
          <w:sz w:val="24"/>
          <w:szCs w:val="24"/>
          <w:rtl/>
        </w:rPr>
        <w:t xml:space="preserve">הרי שבית </w:t>
      </w:r>
      <w:r w:rsidRPr="004511A7">
        <w:rPr>
          <w:rFonts w:ascii="David" w:hAnsi="David" w:cs="David" w:hint="cs"/>
          <w:sz w:val="24"/>
          <w:szCs w:val="24"/>
          <w:rtl/>
        </w:rPr>
        <w:t>משפט קמא</w:t>
      </w:r>
      <w:r>
        <w:rPr>
          <w:rFonts w:ascii="David" w:hAnsi="David" w:cs="David" w:hint="cs"/>
          <w:sz w:val="24"/>
          <w:szCs w:val="24"/>
          <w:rtl/>
        </w:rPr>
        <w:t xml:space="preserve"> באותו הליך קבע כי:</w:t>
      </w:r>
      <w:r w:rsidRPr="004511A7">
        <w:rPr>
          <w:rFonts w:ascii="David" w:hAnsi="David" w:cs="David" w:hint="cs"/>
          <w:sz w:val="24"/>
          <w:szCs w:val="24"/>
          <w:rtl/>
        </w:rPr>
        <w:t xml:space="preserve"> </w:t>
      </w:r>
      <w:r w:rsidRPr="00CE3434">
        <w:rPr>
          <w:rFonts w:ascii="David" w:hAnsi="David" w:cs="David" w:hint="cs"/>
          <w:b/>
          <w:bCs/>
          <w:sz w:val="24"/>
          <w:szCs w:val="24"/>
          <w:rtl/>
        </w:rPr>
        <w:t>"פעולותיה של האם אינם מסוכנות במובן של צו הגנה על פי חוק למניעת אלימות במשפחה [...] נוכח התחייבותה של האם כי תפעל על פי הוראות מרכז הקשר ו/או הוראות מחלקת הרווחה, אני סבור כי אין מקום לצו הגנה מפניה."</w:t>
      </w:r>
    </w:p>
    <w:p w:rsidR="009A3EDE" w:rsidRPr="004511A7" w:rsidRDefault="009A3EDE" w:rsidP="009A3EDE">
      <w:pPr>
        <w:pStyle w:val="ad"/>
        <w:spacing w:line="360" w:lineRule="auto"/>
        <w:ind w:left="226"/>
        <w:jc w:val="both"/>
        <w:rPr>
          <w:rFonts w:ascii="David" w:hAnsi="David" w:cs="David"/>
          <w:sz w:val="24"/>
          <w:szCs w:val="24"/>
        </w:rPr>
      </w:pPr>
    </w:p>
    <w:p w:rsidR="009A3EDE" w:rsidRPr="009F52BA" w:rsidRDefault="009A3EDE" w:rsidP="00A6744A">
      <w:pPr>
        <w:pStyle w:val="ad"/>
        <w:numPr>
          <w:ilvl w:val="0"/>
          <w:numId w:val="3"/>
        </w:numPr>
        <w:spacing w:after="120" w:line="360" w:lineRule="auto"/>
        <w:ind w:left="226"/>
        <w:contextualSpacing w:val="0"/>
        <w:jc w:val="both"/>
        <w:rPr>
          <w:rFonts w:ascii="David" w:hAnsi="David" w:cs="David"/>
          <w:sz w:val="24"/>
          <w:szCs w:val="24"/>
        </w:rPr>
      </w:pPr>
      <w:r w:rsidRPr="009F52BA">
        <w:rPr>
          <w:rFonts w:ascii="David" w:hAnsi="David" w:cs="David" w:hint="cs"/>
          <w:sz w:val="24"/>
          <w:szCs w:val="24"/>
          <w:rtl/>
        </w:rPr>
        <w:t xml:space="preserve">באשר לנימוק כי האם </w:t>
      </w:r>
      <w:r w:rsidRPr="009F52BA">
        <w:rPr>
          <w:rFonts w:ascii="David" w:hAnsi="David" w:cs="David"/>
          <w:sz w:val="24"/>
          <w:szCs w:val="24"/>
          <w:rtl/>
        </w:rPr>
        <w:t>לא נמנעה מנקיטה הליך נזקקות, שלא הניב דבר במבחן התוצאה</w:t>
      </w:r>
      <w:r w:rsidRPr="009F52BA">
        <w:rPr>
          <w:rFonts w:ascii="David" w:hAnsi="David" w:cs="David" w:hint="cs"/>
          <w:sz w:val="24"/>
          <w:szCs w:val="24"/>
          <w:rtl/>
        </w:rPr>
        <w:t>, אציין כי מצאתי טעם בדברי ב"כ האם כי הליך הנזקקות הוגש מטעם המדינה, או ליתר דיוק על ידי עו"ס לחוק הנוער. די בכך כדי לשמוט ולבטח להפחית את אחריות האם בנושא. עו"ס לחוק נוער הינה דרג מקצועי, וגם אם אכן האם טענה אי אילו טענות ביחס לקטין, לאב וכיו"ב, הרי שעו"ס לחוק הנוער שיקללה הנתונים ומצאה לנכון כי יש מקום לנהל הליך נזקקות. ככל וקיים חשש למצבו של קטין, הרי שעל הורי הקטין קמה החובה לפעול לצורך בחינה ו/או אישוש ו/או הסרת החשש. זו אחריותם ההורית וחובתם המוסרית והחוקית. קיים אינטרס פרטני, חברתי ומערכתי שבחינת מצבו של קטין, בין אם בהליך של נזקקות או בהליך אחר, ייבחן על ידי הגורמים המקצועיים. בענייננו, אין אני סבורה כי יש להטיל על המשיבה כל אשם תורם בשל</w:t>
      </w:r>
      <w:r>
        <w:rPr>
          <w:rFonts w:ascii="David" w:hAnsi="David" w:cs="David" w:hint="cs"/>
          <w:sz w:val="24"/>
          <w:szCs w:val="24"/>
          <w:rtl/>
        </w:rPr>
        <w:t xml:space="preserve"> הליך הנזקקות שהתנהל ביחס לקטין, זאת </w:t>
      </w:r>
      <w:r w:rsidRPr="009F52BA">
        <w:rPr>
          <w:rFonts w:ascii="David" w:hAnsi="David" w:cs="David" w:hint="cs"/>
          <w:sz w:val="24"/>
          <w:szCs w:val="24"/>
          <w:rtl/>
        </w:rPr>
        <w:t xml:space="preserve">גם בשל התרשמות הגורמים המקצועיים: - </w:t>
      </w:r>
      <w:r w:rsidRPr="009F52BA">
        <w:rPr>
          <w:rFonts w:ascii="David" w:hAnsi="David" w:cs="David" w:hint="cs"/>
          <w:b/>
          <w:bCs/>
          <w:sz w:val="24"/>
          <w:szCs w:val="24"/>
          <w:rtl/>
        </w:rPr>
        <w:t>"... אני שבה על עמדתי כי הקטין אשר נהג באלימות כה קשה כלפי אמו (דעתי בשונה מדעת האב כי זו הייתה הגנה עצמית בלבד) ואשר מצבו הרגשי מתבטא כבר בביטויים גופניים כגון תיקים בעיניים מצריך להערכתי הערכה פסיכיאטרית. אני רואה כאן חוסר שליטה בכעסים וחוסר ויסות עצמי... התנהלות זו מוכיחה לדעתי את הפגיעה הממשית שכבר אירעה בנפש ילד בן 10 וחשש כבד להתפתחות של ניכור הורי. כל זאת בתקופה שבה שבועיים הבן לא פגש את אמו..."</w:t>
      </w:r>
      <w:r w:rsidRPr="009F52BA">
        <w:rPr>
          <w:rFonts w:ascii="David" w:hAnsi="David" w:cs="David" w:hint="cs"/>
          <w:sz w:val="24"/>
          <w:szCs w:val="24"/>
          <w:rtl/>
        </w:rPr>
        <w:t xml:space="preserve"> ראו המלצות התסקיר מיום 09.12.2014 אליו הפנה בית משפט קמא בסעיף 35 לפסק דינו</w:t>
      </w:r>
      <w:r>
        <w:rPr>
          <w:rFonts w:ascii="David" w:hAnsi="David" w:cs="David" w:hint="cs"/>
          <w:sz w:val="24"/>
          <w:szCs w:val="24"/>
          <w:rtl/>
        </w:rPr>
        <w:t>,</w:t>
      </w:r>
      <w:r w:rsidRPr="009F52BA">
        <w:rPr>
          <w:rFonts w:ascii="David" w:hAnsi="David" w:cs="David" w:hint="cs"/>
          <w:sz w:val="24"/>
          <w:szCs w:val="24"/>
          <w:rtl/>
        </w:rPr>
        <w:t xml:space="preserve"> וגם בשל דברי האפוטרופוס לדין, עו"ד לוי, בהליך הנזקקות: </w:t>
      </w:r>
      <w:r w:rsidRPr="009F52BA">
        <w:rPr>
          <w:rFonts w:ascii="David" w:hAnsi="David" w:cs="David" w:hint="cs"/>
          <w:b/>
          <w:bCs/>
          <w:sz w:val="24"/>
          <w:szCs w:val="24"/>
          <w:rtl/>
        </w:rPr>
        <w:t xml:space="preserve">"פגשתי את הילד ושוחחתי איתו ונכון להיום אני חושב שצריך לעשות איתו עבודה ארוכה מאוד כי רמת ההתנגדות שלו למפגשים עם האמא היא מאוד גבוהה. [...] שמעתי ילד שעבר את גיל 12 שלא מוכן לזוז מילימטר מעמדתו. אני חושב שלטווח ארוך זה נזק אדיר לילד ואמרתי את זה גם לאבא." </w:t>
      </w:r>
      <w:r w:rsidRPr="009F52BA">
        <w:rPr>
          <w:rFonts w:ascii="David" w:hAnsi="David" w:cs="David" w:hint="cs"/>
          <w:sz w:val="24"/>
          <w:szCs w:val="24"/>
          <w:rtl/>
        </w:rPr>
        <w:t>(עמ' 2 לפרוטוקול מיום 10.01.2017)</w:t>
      </w:r>
      <w:r>
        <w:rPr>
          <w:rFonts w:ascii="David" w:hAnsi="David" w:cs="David" w:hint="cs"/>
          <w:sz w:val="24"/>
          <w:szCs w:val="24"/>
          <w:rtl/>
        </w:rPr>
        <w:t>.</w:t>
      </w:r>
    </w:p>
    <w:p w:rsidR="009A3EDE" w:rsidRPr="00CE3434" w:rsidRDefault="009A3EDE" w:rsidP="00A6744A">
      <w:pPr>
        <w:spacing w:after="120" w:line="360" w:lineRule="auto"/>
        <w:ind w:left="360"/>
        <w:jc w:val="both"/>
        <w:rPr>
          <w:rFonts w:ascii="David" w:hAnsi="David"/>
          <w:b/>
          <w:bCs/>
          <w:rtl/>
        </w:rPr>
      </w:pPr>
    </w:p>
    <w:p w:rsidR="009A3EDE" w:rsidRDefault="009A3EDE" w:rsidP="00A6744A">
      <w:pPr>
        <w:pStyle w:val="ad"/>
        <w:numPr>
          <w:ilvl w:val="0"/>
          <w:numId w:val="3"/>
        </w:numPr>
        <w:spacing w:after="120" w:line="360" w:lineRule="auto"/>
        <w:ind w:left="226"/>
        <w:contextualSpacing w:val="0"/>
        <w:jc w:val="both"/>
        <w:rPr>
          <w:rFonts w:ascii="David" w:hAnsi="David" w:cs="David"/>
          <w:b/>
          <w:bCs/>
          <w:sz w:val="24"/>
          <w:szCs w:val="24"/>
        </w:rPr>
      </w:pPr>
      <w:r w:rsidRPr="004511A7">
        <w:rPr>
          <w:rFonts w:ascii="David" w:hAnsi="David" w:cs="David" w:hint="cs"/>
          <w:sz w:val="24"/>
          <w:szCs w:val="24"/>
          <w:rtl/>
        </w:rPr>
        <w:t xml:space="preserve">חברי כבוד השופט ח' שרעבי, סבור כי קיימת הצדקה להתערבות בשיעור האשם התורם שנקבע לאם ולהגדילו </w:t>
      </w:r>
      <w:r>
        <w:rPr>
          <w:rFonts w:ascii="David" w:hAnsi="David" w:cs="David" w:hint="cs"/>
          <w:sz w:val="24"/>
          <w:szCs w:val="24"/>
          <w:rtl/>
        </w:rPr>
        <w:t>משיעור של 25% כפי שקבע בית משפט קמא ל</w:t>
      </w:r>
      <w:r w:rsidRPr="004511A7">
        <w:rPr>
          <w:rFonts w:ascii="David" w:hAnsi="David" w:cs="David" w:hint="cs"/>
          <w:sz w:val="24"/>
          <w:szCs w:val="24"/>
          <w:rtl/>
        </w:rPr>
        <w:t xml:space="preserve">כדי </w:t>
      </w:r>
      <w:r>
        <w:rPr>
          <w:rFonts w:ascii="David" w:hAnsi="David" w:cs="David" w:hint="cs"/>
          <w:sz w:val="24"/>
          <w:szCs w:val="24"/>
          <w:rtl/>
        </w:rPr>
        <w:t xml:space="preserve">שיעור של </w:t>
      </w:r>
      <w:r w:rsidRPr="004511A7">
        <w:rPr>
          <w:rFonts w:ascii="David" w:hAnsi="David" w:cs="David" w:hint="cs"/>
          <w:sz w:val="24"/>
          <w:szCs w:val="24"/>
          <w:rtl/>
        </w:rPr>
        <w:t xml:space="preserve">40%, וזאת בשל </w:t>
      </w:r>
      <w:r>
        <w:rPr>
          <w:rFonts w:ascii="David" w:hAnsi="David" w:cs="David" w:hint="cs"/>
          <w:sz w:val="24"/>
          <w:szCs w:val="24"/>
          <w:rtl/>
        </w:rPr>
        <w:t>שני טעמים עיקריים</w:t>
      </w:r>
      <w:r w:rsidRPr="004511A7">
        <w:rPr>
          <w:rFonts w:ascii="David" w:hAnsi="David" w:cs="David" w:hint="cs"/>
          <w:sz w:val="24"/>
          <w:szCs w:val="24"/>
          <w:rtl/>
        </w:rPr>
        <w:t>:</w:t>
      </w:r>
      <w:r w:rsidRPr="004511A7">
        <w:rPr>
          <w:rFonts w:ascii="David" w:hAnsi="David" w:cs="David" w:hint="cs"/>
          <w:b/>
          <w:bCs/>
          <w:sz w:val="24"/>
          <w:szCs w:val="24"/>
          <w:rtl/>
        </w:rPr>
        <w:t xml:space="preserve"> </w:t>
      </w:r>
    </w:p>
    <w:p w:rsidR="009A3EDE" w:rsidRDefault="009A3EDE" w:rsidP="00A6744A">
      <w:pPr>
        <w:pStyle w:val="ad"/>
        <w:spacing w:after="120" w:line="360" w:lineRule="auto"/>
        <w:ind w:left="226"/>
        <w:contextualSpacing w:val="0"/>
        <w:jc w:val="both"/>
        <w:rPr>
          <w:rFonts w:ascii="David" w:hAnsi="David" w:cs="David"/>
          <w:b/>
          <w:bCs/>
          <w:sz w:val="24"/>
          <w:szCs w:val="24"/>
        </w:rPr>
      </w:pPr>
    </w:p>
    <w:p w:rsidR="009A3EDE" w:rsidRPr="0002483C" w:rsidRDefault="009A3EDE" w:rsidP="00A6744A">
      <w:pPr>
        <w:pStyle w:val="ad"/>
        <w:numPr>
          <w:ilvl w:val="0"/>
          <w:numId w:val="4"/>
        </w:numPr>
        <w:spacing w:after="120" w:line="360" w:lineRule="auto"/>
        <w:ind w:left="657" w:right="426"/>
        <w:contextualSpacing w:val="0"/>
        <w:jc w:val="both"/>
        <w:rPr>
          <w:rFonts w:ascii="David" w:hAnsi="David" w:cs="David"/>
          <w:b/>
          <w:bCs/>
          <w:sz w:val="24"/>
          <w:szCs w:val="24"/>
        </w:rPr>
      </w:pPr>
      <w:r w:rsidRPr="004511A7">
        <w:rPr>
          <w:rFonts w:ascii="David" w:hAnsi="David" w:cs="David" w:hint="cs"/>
          <w:b/>
          <w:bCs/>
          <w:sz w:val="24"/>
          <w:szCs w:val="24"/>
          <w:rtl/>
        </w:rPr>
        <w:t xml:space="preserve">"התרשמותו של המותב הקודם בתיק (כב' השופט בן ציון ברגר) בשנת 2015, למעלה משלוש שנים לאחר שהאב יצא מביתו בשנת 2012 (ראו סעיף 7(א) לעיל), </w:t>
      </w:r>
      <w:r w:rsidRPr="004511A7">
        <w:rPr>
          <w:rFonts w:ascii="David" w:hAnsi="David" w:cs="David" w:hint="cs"/>
          <w:b/>
          <w:bCs/>
          <w:sz w:val="24"/>
          <w:szCs w:val="24"/>
          <w:u w:val="single"/>
          <w:rtl/>
        </w:rPr>
        <w:t>כשהניכור בין האם ל</w:t>
      </w:r>
      <w:r w:rsidR="00820F03">
        <w:rPr>
          <w:rFonts w:ascii="David" w:hAnsi="David" w:cs="David" w:hint="cs"/>
          <w:b/>
          <w:bCs/>
          <w:sz w:val="24"/>
          <w:szCs w:val="24"/>
          <w:u w:val="single"/>
          <w:rtl/>
        </w:rPr>
        <w:t>מ</w:t>
      </w:r>
      <w:r w:rsidR="00820F03">
        <w:rPr>
          <w:rFonts w:ascii="David" w:hAnsi="David" w:cs="David"/>
          <w:b/>
          <w:bCs/>
          <w:sz w:val="24"/>
          <w:szCs w:val="24"/>
          <w:u w:val="single"/>
          <w:rtl/>
        </w:rPr>
        <w:t>'</w:t>
      </w:r>
      <w:r w:rsidR="00820F03">
        <w:rPr>
          <w:rFonts w:ascii="David" w:hAnsi="David" w:cs="David" w:hint="cs"/>
          <w:b/>
          <w:bCs/>
          <w:sz w:val="24"/>
          <w:szCs w:val="24"/>
          <w:u w:val="single"/>
          <w:rtl/>
        </w:rPr>
        <w:t xml:space="preserve"> </w:t>
      </w:r>
      <w:r w:rsidRPr="004511A7">
        <w:rPr>
          <w:rFonts w:ascii="David" w:hAnsi="David" w:cs="David" w:hint="cs"/>
          <w:b/>
          <w:bCs/>
          <w:sz w:val="24"/>
          <w:szCs w:val="24"/>
          <w:u w:val="single"/>
          <w:rtl/>
        </w:rPr>
        <w:t>כבר היה קיים</w:t>
      </w:r>
      <w:r w:rsidRPr="004511A7">
        <w:rPr>
          <w:rFonts w:ascii="David" w:hAnsi="David" w:cs="David" w:hint="cs"/>
          <w:b/>
          <w:bCs/>
          <w:sz w:val="24"/>
          <w:szCs w:val="24"/>
          <w:rtl/>
        </w:rPr>
        <w:t xml:space="preserve"> (כך שאין מדובר בתחילת הדרך כטענת ב"כ המשיבה בפנינו בישיבת הערעור, כמצוין לעיל), כי האחריות </w:t>
      </w:r>
      <w:r w:rsidRPr="004511A7">
        <w:rPr>
          <w:rFonts w:ascii="David" w:hAnsi="David" w:cs="David" w:hint="cs"/>
          <w:b/>
          <w:bCs/>
          <w:sz w:val="24"/>
          <w:szCs w:val="24"/>
          <w:rtl/>
        </w:rPr>
        <w:lastRenderedPageBreak/>
        <w:t>לניכור זה מוטלת על שני ההורים כאחד. היינו בחלקים שווים, קשה להמעיט מערכאה של התרשמות זאת של המותב הקודם בתיק, שליווה הצדדים, לרבות סוגיית הניכור ההורי, במשך מספר שנים"</w:t>
      </w:r>
      <w:r>
        <w:rPr>
          <w:rFonts w:ascii="David" w:hAnsi="David" w:cs="David" w:hint="cs"/>
          <w:sz w:val="24"/>
          <w:szCs w:val="24"/>
          <w:rtl/>
        </w:rPr>
        <w:t>.</w:t>
      </w:r>
      <w:r w:rsidRPr="004511A7">
        <w:rPr>
          <w:rFonts w:ascii="David" w:hAnsi="David" w:cs="David" w:hint="cs"/>
          <w:sz w:val="24"/>
          <w:szCs w:val="24"/>
          <w:rtl/>
        </w:rPr>
        <w:t xml:space="preserve"> </w:t>
      </w:r>
    </w:p>
    <w:p w:rsidR="009A3EDE" w:rsidRPr="006576E5" w:rsidRDefault="009A3EDE" w:rsidP="00C061F7">
      <w:pPr>
        <w:pStyle w:val="ad"/>
        <w:numPr>
          <w:ilvl w:val="0"/>
          <w:numId w:val="4"/>
        </w:numPr>
        <w:spacing w:after="120" w:line="360" w:lineRule="auto"/>
        <w:ind w:left="657" w:right="426"/>
        <w:contextualSpacing w:val="0"/>
        <w:jc w:val="both"/>
        <w:rPr>
          <w:rFonts w:ascii="David" w:hAnsi="David" w:cs="David"/>
          <w:b/>
          <w:bCs/>
          <w:sz w:val="24"/>
          <w:szCs w:val="24"/>
        </w:rPr>
      </w:pPr>
      <w:r w:rsidRPr="004511A7">
        <w:rPr>
          <w:rFonts w:ascii="David" w:hAnsi="David" w:cs="David" w:hint="cs"/>
          <w:b/>
          <w:bCs/>
          <w:sz w:val="24"/>
          <w:szCs w:val="24"/>
          <w:rtl/>
        </w:rPr>
        <w:t xml:space="preserve">"הוכח לכאורה כי האם לא אמרה אמת בתיק הנזקקות, על אודות הכאתה בפטיש על ידי </w:t>
      </w:r>
      <w:r w:rsidR="00820F03">
        <w:rPr>
          <w:rFonts w:ascii="David" w:hAnsi="David" w:cs="David" w:hint="cs"/>
          <w:b/>
          <w:bCs/>
          <w:sz w:val="24"/>
          <w:szCs w:val="24"/>
          <w:rtl/>
        </w:rPr>
        <w:t>מ</w:t>
      </w:r>
      <w:r w:rsidR="00820F03">
        <w:rPr>
          <w:rFonts w:ascii="David" w:hAnsi="David" w:cs="David"/>
          <w:b/>
          <w:bCs/>
          <w:sz w:val="24"/>
          <w:szCs w:val="24"/>
          <w:rtl/>
        </w:rPr>
        <w:t>'</w:t>
      </w:r>
      <w:r w:rsidR="00820F03">
        <w:rPr>
          <w:rFonts w:ascii="David" w:hAnsi="David" w:cs="David" w:hint="cs"/>
          <w:b/>
          <w:bCs/>
          <w:sz w:val="24"/>
          <w:szCs w:val="24"/>
          <w:rtl/>
        </w:rPr>
        <w:t xml:space="preserve"> </w:t>
      </w:r>
      <w:r w:rsidRPr="004511A7">
        <w:rPr>
          <w:rFonts w:ascii="David" w:hAnsi="David" w:cs="David" w:hint="cs"/>
          <w:b/>
          <w:bCs/>
          <w:sz w:val="24"/>
          <w:szCs w:val="24"/>
          <w:rtl/>
        </w:rPr>
        <w:t xml:space="preserve">בכל חלקי גופה, אמירה ממנה חזרה בתיק הפלילי (ראו דברינו לעיל). [...] עובדה זאת, לה לטעמי לא נתן השופט קמא משקל ראוי, יש בה לתרום יותר ממה שהתרשם השופט קמא כ"תרומתה" של האם לניתוק הקשר בינה לבין בנה </w:t>
      </w:r>
      <w:r w:rsidR="00A6744A">
        <w:rPr>
          <w:rFonts w:ascii="David" w:hAnsi="David" w:cs="David" w:hint="cs"/>
          <w:b/>
          <w:bCs/>
          <w:sz w:val="24"/>
          <w:szCs w:val="24"/>
          <w:rtl/>
        </w:rPr>
        <w:t>מ'</w:t>
      </w:r>
      <w:r w:rsidRPr="004511A7">
        <w:rPr>
          <w:rFonts w:ascii="David" w:hAnsi="David" w:cs="David" w:hint="cs"/>
          <w:b/>
          <w:bCs/>
          <w:sz w:val="24"/>
          <w:szCs w:val="24"/>
          <w:rtl/>
        </w:rPr>
        <w:t xml:space="preserve">. [...] ניתן להניח, בלשון עדינה, כי מצב דברים זה לא תרם לשיפור היחסים בין האם </w:t>
      </w:r>
      <w:r w:rsidR="00C061F7">
        <w:rPr>
          <w:rFonts w:ascii="David" w:hAnsi="David" w:cs="David" w:hint="cs"/>
          <w:b/>
          <w:bCs/>
          <w:sz w:val="24"/>
          <w:szCs w:val="24"/>
          <w:rtl/>
        </w:rPr>
        <w:t>ל-מ'</w:t>
      </w:r>
      <w:r w:rsidRPr="004511A7">
        <w:rPr>
          <w:rFonts w:ascii="David" w:hAnsi="David" w:cs="David" w:hint="cs"/>
          <w:b/>
          <w:bCs/>
          <w:sz w:val="24"/>
          <w:szCs w:val="24"/>
          <w:rtl/>
        </w:rPr>
        <w:t xml:space="preserve">, אלא להחמרת או להחרפת יחסים אלה. [...]." </w:t>
      </w:r>
      <w:r w:rsidRPr="004511A7">
        <w:rPr>
          <w:rFonts w:ascii="David" w:hAnsi="David" w:cs="David"/>
          <w:sz w:val="24"/>
          <w:szCs w:val="24"/>
          <w:rtl/>
        </w:rPr>
        <w:t>(</w:t>
      </w:r>
      <w:r w:rsidRPr="004511A7">
        <w:rPr>
          <w:rFonts w:ascii="David" w:hAnsi="David" w:cs="David" w:hint="eastAsia"/>
          <w:sz w:val="24"/>
          <w:szCs w:val="24"/>
          <w:rtl/>
        </w:rPr>
        <w:t>סעיפים</w:t>
      </w:r>
      <w:r w:rsidRPr="004511A7">
        <w:rPr>
          <w:rFonts w:ascii="David" w:hAnsi="David" w:cs="David"/>
          <w:sz w:val="24"/>
          <w:szCs w:val="24"/>
          <w:rtl/>
        </w:rPr>
        <w:t xml:space="preserve"> 34א'-34ב' </w:t>
      </w:r>
      <w:r w:rsidRPr="004511A7">
        <w:rPr>
          <w:rFonts w:ascii="David" w:hAnsi="David" w:cs="David" w:hint="eastAsia"/>
          <w:sz w:val="24"/>
          <w:szCs w:val="24"/>
          <w:rtl/>
        </w:rPr>
        <w:t>לפסק</w:t>
      </w:r>
      <w:r w:rsidRPr="004511A7">
        <w:rPr>
          <w:rFonts w:ascii="David" w:hAnsi="David" w:cs="David"/>
          <w:sz w:val="24"/>
          <w:szCs w:val="24"/>
          <w:rtl/>
        </w:rPr>
        <w:t xml:space="preserve"> </w:t>
      </w:r>
      <w:r w:rsidRPr="004511A7">
        <w:rPr>
          <w:rFonts w:ascii="David" w:hAnsi="David" w:cs="David" w:hint="eastAsia"/>
          <w:sz w:val="24"/>
          <w:szCs w:val="24"/>
          <w:rtl/>
        </w:rPr>
        <w:t>דינו</w:t>
      </w:r>
      <w:r w:rsidRPr="004511A7">
        <w:rPr>
          <w:rFonts w:ascii="David" w:hAnsi="David" w:cs="David"/>
          <w:sz w:val="24"/>
          <w:szCs w:val="24"/>
          <w:rtl/>
        </w:rPr>
        <w:t xml:space="preserve"> </w:t>
      </w:r>
      <w:r w:rsidRPr="004511A7">
        <w:rPr>
          <w:rFonts w:ascii="David" w:hAnsi="David" w:cs="David" w:hint="eastAsia"/>
          <w:sz w:val="24"/>
          <w:szCs w:val="24"/>
          <w:rtl/>
        </w:rPr>
        <w:t>של</w:t>
      </w:r>
      <w:r w:rsidRPr="004511A7">
        <w:rPr>
          <w:rFonts w:ascii="David" w:hAnsi="David" w:cs="David"/>
          <w:sz w:val="24"/>
          <w:szCs w:val="24"/>
          <w:rtl/>
        </w:rPr>
        <w:t xml:space="preserve"> </w:t>
      </w:r>
      <w:r w:rsidRPr="004511A7">
        <w:rPr>
          <w:rFonts w:ascii="David" w:hAnsi="David" w:cs="David" w:hint="eastAsia"/>
          <w:sz w:val="24"/>
          <w:szCs w:val="24"/>
          <w:rtl/>
        </w:rPr>
        <w:t>כב</w:t>
      </w:r>
      <w:r w:rsidRPr="004511A7">
        <w:rPr>
          <w:rFonts w:ascii="David" w:hAnsi="David" w:cs="David"/>
          <w:sz w:val="24"/>
          <w:szCs w:val="24"/>
          <w:rtl/>
        </w:rPr>
        <w:t>' הש</w:t>
      </w:r>
      <w:r w:rsidRPr="004511A7">
        <w:rPr>
          <w:rFonts w:ascii="David" w:hAnsi="David" w:cs="David" w:hint="eastAsia"/>
          <w:sz w:val="24"/>
          <w:szCs w:val="24"/>
          <w:rtl/>
        </w:rPr>
        <w:t>ופט</w:t>
      </w:r>
      <w:r w:rsidRPr="004511A7">
        <w:rPr>
          <w:rFonts w:ascii="David" w:hAnsi="David" w:cs="David"/>
          <w:sz w:val="24"/>
          <w:szCs w:val="24"/>
          <w:rtl/>
        </w:rPr>
        <w:t xml:space="preserve"> שרעבי).</w:t>
      </w:r>
    </w:p>
    <w:p w:rsidR="009A3EDE" w:rsidRPr="004511A7" w:rsidRDefault="009A3EDE" w:rsidP="009A3EDE">
      <w:pPr>
        <w:pStyle w:val="ad"/>
        <w:spacing w:line="360" w:lineRule="auto"/>
        <w:ind w:left="226"/>
        <w:jc w:val="both"/>
        <w:rPr>
          <w:rFonts w:ascii="David" w:hAnsi="David" w:cs="David"/>
          <w:sz w:val="24"/>
          <w:szCs w:val="24"/>
        </w:rPr>
      </w:pPr>
    </w:p>
    <w:p w:rsidR="009A3EDE" w:rsidRPr="006576E5" w:rsidRDefault="009A3EDE" w:rsidP="009A3EDE">
      <w:pPr>
        <w:pStyle w:val="ad"/>
        <w:numPr>
          <w:ilvl w:val="0"/>
          <w:numId w:val="3"/>
        </w:numPr>
        <w:spacing w:line="360" w:lineRule="auto"/>
        <w:ind w:left="226"/>
        <w:jc w:val="both"/>
        <w:rPr>
          <w:rFonts w:ascii="David" w:hAnsi="David" w:cs="David"/>
          <w:b/>
          <w:bCs/>
          <w:sz w:val="24"/>
          <w:szCs w:val="24"/>
        </w:rPr>
      </w:pPr>
      <w:r>
        <w:rPr>
          <w:rFonts w:ascii="David" w:hAnsi="David" w:cs="David" w:hint="cs"/>
          <w:sz w:val="24"/>
          <w:szCs w:val="24"/>
          <w:rtl/>
        </w:rPr>
        <w:t xml:space="preserve">שונה היא דעתי. </w:t>
      </w:r>
    </w:p>
    <w:p w:rsidR="009A3EDE" w:rsidRPr="006576E5" w:rsidRDefault="009A3EDE" w:rsidP="009A3EDE">
      <w:pPr>
        <w:pStyle w:val="ad"/>
        <w:spacing w:line="360" w:lineRule="auto"/>
        <w:ind w:left="226"/>
        <w:jc w:val="both"/>
        <w:rPr>
          <w:rFonts w:ascii="David" w:hAnsi="David" w:cs="David"/>
          <w:b/>
          <w:bCs/>
          <w:sz w:val="24"/>
          <w:szCs w:val="24"/>
        </w:rPr>
      </w:pPr>
      <w:r>
        <w:rPr>
          <w:rFonts w:ascii="David" w:hAnsi="David" w:cs="David" w:hint="cs"/>
          <w:sz w:val="24"/>
          <w:szCs w:val="24"/>
          <w:rtl/>
        </w:rPr>
        <w:t xml:space="preserve"> </w:t>
      </w:r>
    </w:p>
    <w:p w:rsidR="009A3EDE" w:rsidRPr="006576E5" w:rsidRDefault="009A3EDE" w:rsidP="009A3EDE">
      <w:pPr>
        <w:pStyle w:val="ad"/>
        <w:numPr>
          <w:ilvl w:val="0"/>
          <w:numId w:val="3"/>
        </w:numPr>
        <w:spacing w:line="360" w:lineRule="auto"/>
        <w:ind w:left="226"/>
        <w:jc w:val="both"/>
        <w:rPr>
          <w:rFonts w:ascii="David" w:hAnsi="David" w:cs="David"/>
          <w:b/>
          <w:bCs/>
          <w:sz w:val="24"/>
          <w:szCs w:val="24"/>
        </w:rPr>
      </w:pPr>
      <w:r>
        <w:rPr>
          <w:rFonts w:ascii="David" w:hAnsi="David" w:cs="David" w:hint="cs"/>
          <w:sz w:val="24"/>
          <w:szCs w:val="24"/>
          <w:rtl/>
        </w:rPr>
        <w:t xml:space="preserve">בפסק הדין משנת 2015 בתביעת המזונות </w:t>
      </w:r>
      <w:r w:rsidRPr="00791AA5">
        <w:rPr>
          <w:rFonts w:ascii="David" w:hAnsi="David" w:cs="David" w:hint="cs"/>
          <w:sz w:val="24"/>
          <w:szCs w:val="24"/>
          <w:rtl/>
        </w:rPr>
        <w:t xml:space="preserve">(הליך תמ"ש 52292-01-12 (תביעת המזונות)), </w:t>
      </w:r>
      <w:r>
        <w:rPr>
          <w:rFonts w:ascii="David" w:hAnsi="David" w:cs="David" w:hint="cs"/>
          <w:sz w:val="24"/>
          <w:szCs w:val="24"/>
          <w:rtl/>
        </w:rPr>
        <w:t xml:space="preserve">קבע כב' </w:t>
      </w:r>
      <w:r w:rsidRPr="00791AA5">
        <w:rPr>
          <w:rFonts w:ascii="David" w:hAnsi="David" w:cs="David" w:hint="cs"/>
          <w:sz w:val="24"/>
          <w:szCs w:val="24"/>
          <w:rtl/>
        </w:rPr>
        <w:t>השופט בן ציון ברגר</w:t>
      </w:r>
      <w:r>
        <w:rPr>
          <w:rFonts w:ascii="David" w:hAnsi="David" w:cs="David" w:hint="cs"/>
          <w:sz w:val="24"/>
          <w:szCs w:val="24"/>
          <w:rtl/>
        </w:rPr>
        <w:t xml:space="preserve"> (המותב הקודם)</w:t>
      </w:r>
      <w:r w:rsidRPr="00791AA5">
        <w:rPr>
          <w:rFonts w:ascii="David" w:hAnsi="David" w:cs="David" w:hint="cs"/>
          <w:sz w:val="24"/>
          <w:szCs w:val="24"/>
          <w:rtl/>
        </w:rPr>
        <w:t xml:space="preserve"> </w:t>
      </w:r>
      <w:r>
        <w:rPr>
          <w:rFonts w:ascii="David" w:hAnsi="David" w:cs="David" w:hint="cs"/>
          <w:sz w:val="24"/>
          <w:szCs w:val="24"/>
          <w:rtl/>
        </w:rPr>
        <w:t xml:space="preserve"> </w:t>
      </w:r>
      <w:r w:rsidRPr="00791AA5">
        <w:rPr>
          <w:rFonts w:ascii="David" w:hAnsi="David" w:cs="David" w:hint="cs"/>
          <w:sz w:val="24"/>
          <w:szCs w:val="24"/>
          <w:rtl/>
        </w:rPr>
        <w:t xml:space="preserve">כי: </w:t>
      </w:r>
      <w:r w:rsidRPr="00791AA5">
        <w:rPr>
          <w:rFonts w:ascii="David" w:hAnsi="David" w:cs="David" w:hint="cs"/>
          <w:b/>
          <w:bCs/>
          <w:sz w:val="24"/>
          <w:szCs w:val="24"/>
          <w:rtl/>
        </w:rPr>
        <w:t xml:space="preserve">"[...] סבורני כי שני ההורים אחראים בהתנהלותם ההדדית זל"ז לנתק אשר נוצר בין האם לבין </w:t>
      </w:r>
      <w:r w:rsidR="00820F03">
        <w:rPr>
          <w:rFonts w:ascii="David" w:hAnsi="David" w:cs="David" w:hint="cs"/>
          <w:b/>
          <w:bCs/>
          <w:sz w:val="24"/>
          <w:szCs w:val="24"/>
          <w:rtl/>
        </w:rPr>
        <w:t>מ</w:t>
      </w:r>
      <w:r w:rsidR="00820F03">
        <w:rPr>
          <w:rFonts w:ascii="David" w:hAnsi="David" w:cs="David"/>
          <w:b/>
          <w:bCs/>
          <w:sz w:val="24"/>
          <w:szCs w:val="24"/>
          <w:rtl/>
        </w:rPr>
        <w:t>'</w:t>
      </w:r>
      <w:r w:rsidR="00820F03">
        <w:rPr>
          <w:rFonts w:ascii="David" w:hAnsi="David" w:cs="David" w:hint="cs"/>
          <w:b/>
          <w:bCs/>
          <w:sz w:val="24"/>
          <w:szCs w:val="24"/>
          <w:rtl/>
        </w:rPr>
        <w:t xml:space="preserve"> </w:t>
      </w:r>
      <w:r w:rsidRPr="00791AA5">
        <w:rPr>
          <w:rFonts w:ascii="David" w:hAnsi="David" w:cs="David" w:hint="cs"/>
          <w:b/>
          <w:bCs/>
          <w:sz w:val="24"/>
          <w:szCs w:val="24"/>
          <w:rtl/>
        </w:rPr>
        <w:t xml:space="preserve">ולא ניתן להטיל את האשם על צד אחד בלבד [...]." </w:t>
      </w:r>
      <w:r w:rsidRPr="00791AA5">
        <w:rPr>
          <w:rFonts w:ascii="David" w:hAnsi="David" w:cs="David" w:hint="cs"/>
          <w:sz w:val="24"/>
          <w:szCs w:val="24"/>
          <w:rtl/>
        </w:rPr>
        <w:t xml:space="preserve">" </w:t>
      </w:r>
      <w:r>
        <w:rPr>
          <w:rFonts w:ascii="David" w:hAnsi="David" w:cs="David" w:hint="cs"/>
          <w:sz w:val="24"/>
          <w:szCs w:val="24"/>
          <w:rtl/>
        </w:rPr>
        <w:t>משמע</w:t>
      </w:r>
      <w:r w:rsidRPr="00791AA5">
        <w:rPr>
          <w:rFonts w:ascii="David" w:hAnsi="David" w:cs="David" w:hint="cs"/>
          <w:sz w:val="24"/>
          <w:szCs w:val="24"/>
          <w:rtl/>
        </w:rPr>
        <w:t>, כבוד השופט בן ציון ברגר קבע כי קיימת לצדדים אחריות הדדית (ומכאן אשם תורם)</w:t>
      </w:r>
      <w:r>
        <w:rPr>
          <w:rFonts w:ascii="David" w:hAnsi="David" w:cs="David" w:hint="cs"/>
          <w:sz w:val="24"/>
          <w:szCs w:val="24"/>
          <w:rtl/>
        </w:rPr>
        <w:t xml:space="preserve">. ודוק לא נקבע </w:t>
      </w:r>
      <w:r w:rsidRPr="00791AA5">
        <w:rPr>
          <w:rFonts w:ascii="David" w:hAnsi="David" w:cs="David" w:hint="cs"/>
          <w:sz w:val="24"/>
          <w:szCs w:val="24"/>
          <w:rtl/>
        </w:rPr>
        <w:t>דבר ביחס למשקל האחריות והאשם התורם</w:t>
      </w:r>
      <w:r>
        <w:rPr>
          <w:rFonts w:ascii="David" w:hAnsi="David" w:cs="David" w:hint="cs"/>
          <w:sz w:val="24"/>
          <w:szCs w:val="24"/>
          <w:rtl/>
        </w:rPr>
        <w:t xml:space="preserve"> ובוודאי שלא נקבע על ידי כב' השופט ברגר כפי שהסיק כב' השופט שרעבי כי:</w:t>
      </w:r>
      <w:r>
        <w:rPr>
          <w:rFonts w:ascii="David" w:hAnsi="David" w:cs="David" w:hint="cs"/>
          <w:b/>
          <w:bCs/>
          <w:sz w:val="24"/>
          <w:szCs w:val="24"/>
          <w:rtl/>
        </w:rPr>
        <w:t xml:space="preserve"> </w:t>
      </w:r>
      <w:r w:rsidRPr="00791AA5">
        <w:rPr>
          <w:rFonts w:ascii="David" w:hAnsi="David" w:cs="David" w:hint="cs"/>
          <w:b/>
          <w:bCs/>
          <w:sz w:val="24"/>
          <w:szCs w:val="24"/>
          <w:rtl/>
        </w:rPr>
        <w:t>"...האחריות לניכור זה מוטלת על שני ההורים כאחד</w:t>
      </w:r>
      <w:r>
        <w:rPr>
          <w:rFonts w:ascii="David" w:hAnsi="David" w:cs="David" w:hint="cs"/>
          <w:b/>
          <w:bCs/>
          <w:sz w:val="24"/>
          <w:szCs w:val="24"/>
          <w:rtl/>
        </w:rPr>
        <w:t>. היינו בחלקים שווים...".</w:t>
      </w:r>
      <w:r w:rsidRPr="00791AA5">
        <w:rPr>
          <w:rFonts w:ascii="David" w:hAnsi="David" w:cs="David" w:hint="cs"/>
          <w:b/>
          <w:bCs/>
          <w:sz w:val="24"/>
          <w:szCs w:val="24"/>
          <w:rtl/>
        </w:rPr>
        <w:t xml:space="preserve"> </w:t>
      </w:r>
      <w:r>
        <w:rPr>
          <w:rFonts w:ascii="David" w:hAnsi="David" w:cs="David" w:hint="cs"/>
          <w:sz w:val="24"/>
          <w:szCs w:val="24"/>
          <w:rtl/>
        </w:rPr>
        <w:t xml:space="preserve">כל שנקבע </w:t>
      </w:r>
      <w:r w:rsidRPr="00791AA5">
        <w:rPr>
          <w:rFonts w:ascii="David" w:hAnsi="David" w:cs="David" w:hint="cs"/>
          <w:sz w:val="24"/>
          <w:szCs w:val="24"/>
          <w:rtl/>
        </w:rPr>
        <w:t xml:space="preserve">כי לשני ההורים אחריות לנתק בשל "התנהלותם ההדדית", </w:t>
      </w:r>
      <w:r>
        <w:rPr>
          <w:rFonts w:ascii="David" w:hAnsi="David" w:cs="David" w:hint="cs"/>
          <w:sz w:val="24"/>
          <w:szCs w:val="24"/>
          <w:rtl/>
        </w:rPr>
        <w:t xml:space="preserve">יחד עם זאת, כב' השופט ברגר לא קבע כי מדובר באחריות </w:t>
      </w:r>
      <w:r w:rsidRPr="00791AA5">
        <w:rPr>
          <w:rFonts w:ascii="David" w:hAnsi="David" w:cs="David" w:hint="cs"/>
          <w:sz w:val="24"/>
          <w:szCs w:val="24"/>
          <w:rtl/>
        </w:rPr>
        <w:t>שוות ערך</w:t>
      </w:r>
      <w:r>
        <w:rPr>
          <w:rFonts w:ascii="David" w:hAnsi="David" w:cs="David" w:hint="cs"/>
          <w:sz w:val="24"/>
          <w:szCs w:val="24"/>
          <w:rtl/>
        </w:rPr>
        <w:t xml:space="preserve"> ו/או זהה הרובצות</w:t>
      </w:r>
      <w:r w:rsidRPr="00791AA5">
        <w:rPr>
          <w:rFonts w:ascii="David" w:hAnsi="David" w:cs="David" w:hint="cs"/>
          <w:sz w:val="24"/>
          <w:szCs w:val="24"/>
          <w:rtl/>
        </w:rPr>
        <w:t xml:space="preserve"> לפתחם של שני ההורים "בחלקים שווים"</w:t>
      </w:r>
      <w:r>
        <w:rPr>
          <w:rFonts w:ascii="David" w:hAnsi="David" w:cs="David" w:hint="cs"/>
          <w:sz w:val="24"/>
          <w:szCs w:val="24"/>
          <w:rtl/>
        </w:rPr>
        <w:t xml:space="preserve"> ואף אני אמנע מכך</w:t>
      </w:r>
      <w:r w:rsidRPr="00791AA5">
        <w:rPr>
          <w:rFonts w:ascii="David" w:hAnsi="David" w:cs="David" w:hint="cs"/>
          <w:sz w:val="24"/>
          <w:szCs w:val="24"/>
          <w:rtl/>
        </w:rPr>
        <w:t xml:space="preserve">. </w:t>
      </w:r>
    </w:p>
    <w:p w:rsidR="009A3EDE" w:rsidRPr="006576E5" w:rsidRDefault="009A3EDE" w:rsidP="009A3EDE">
      <w:pPr>
        <w:pStyle w:val="ad"/>
        <w:spacing w:line="360" w:lineRule="auto"/>
        <w:ind w:left="226"/>
        <w:jc w:val="both"/>
        <w:rPr>
          <w:rFonts w:ascii="David" w:hAnsi="David" w:cs="David"/>
          <w:b/>
          <w:bCs/>
          <w:sz w:val="24"/>
          <w:szCs w:val="24"/>
        </w:rPr>
      </w:pPr>
    </w:p>
    <w:p w:rsidR="009A3EDE" w:rsidRDefault="009A3EDE" w:rsidP="004877EC">
      <w:pPr>
        <w:pStyle w:val="ad"/>
        <w:numPr>
          <w:ilvl w:val="0"/>
          <w:numId w:val="3"/>
        </w:numPr>
        <w:spacing w:line="360" w:lineRule="auto"/>
        <w:ind w:left="226"/>
        <w:jc w:val="both"/>
        <w:rPr>
          <w:rFonts w:ascii="David" w:hAnsi="David" w:cs="David"/>
          <w:b/>
          <w:bCs/>
          <w:sz w:val="24"/>
          <w:szCs w:val="24"/>
        </w:rPr>
      </w:pPr>
      <w:r>
        <w:rPr>
          <w:rFonts w:ascii="David" w:hAnsi="David" w:cs="David" w:hint="cs"/>
          <w:sz w:val="24"/>
          <w:szCs w:val="24"/>
          <w:rtl/>
        </w:rPr>
        <w:t xml:space="preserve">זאת ועוד פסק דינו של השופט ברגר ניתן בשנת 2015. התביעה לניכור הורי הוגשה בשנת 2021, היינו בחלוף 6 שנים ופסק הדין ניתן במרץ 2024, בחלוף </w:t>
      </w:r>
      <w:r w:rsidRPr="00BB0977">
        <w:rPr>
          <w:rFonts w:ascii="David" w:hAnsi="David" w:cs="David" w:hint="cs"/>
          <w:sz w:val="24"/>
          <w:szCs w:val="24"/>
          <w:rtl/>
        </w:rPr>
        <w:t>9 שנים</w:t>
      </w:r>
      <w:r>
        <w:rPr>
          <w:rFonts w:ascii="David" w:hAnsi="David" w:cs="David" w:hint="cs"/>
          <w:sz w:val="24"/>
          <w:szCs w:val="24"/>
          <w:rtl/>
        </w:rPr>
        <w:t xml:space="preserve"> מפסק הדין למזונות.</w:t>
      </w:r>
      <w:r w:rsidRPr="00BB0977">
        <w:rPr>
          <w:rFonts w:ascii="David" w:hAnsi="David" w:cs="David" w:hint="cs"/>
          <w:sz w:val="24"/>
          <w:szCs w:val="24"/>
          <w:rtl/>
        </w:rPr>
        <w:t xml:space="preserve"> עם חלוף השנים, וככל שסערת הרגשות והאירועים שוכחת ונרגעת, אשמתה התורמת של ה</w:t>
      </w:r>
      <w:r>
        <w:rPr>
          <w:rFonts w:ascii="David" w:hAnsi="David" w:cs="David" w:hint="cs"/>
          <w:sz w:val="24"/>
          <w:szCs w:val="24"/>
          <w:rtl/>
        </w:rPr>
        <w:t xml:space="preserve">אם </w:t>
      </w:r>
      <w:r w:rsidRPr="00BB0977">
        <w:rPr>
          <w:rFonts w:ascii="David" w:hAnsi="David" w:cs="David" w:hint="cs"/>
          <w:sz w:val="24"/>
          <w:szCs w:val="24"/>
          <w:rtl/>
        </w:rPr>
        <w:t xml:space="preserve">לניתוק הקשר עם בנה הקטין </w:t>
      </w:r>
      <w:r>
        <w:rPr>
          <w:rFonts w:ascii="David" w:hAnsi="David" w:cs="David" w:hint="cs"/>
          <w:sz w:val="24"/>
          <w:szCs w:val="24"/>
          <w:rtl/>
        </w:rPr>
        <w:t>מתקהה</w:t>
      </w:r>
      <w:r w:rsidRPr="00BB0977">
        <w:rPr>
          <w:rFonts w:ascii="David" w:hAnsi="David" w:cs="David" w:hint="cs"/>
          <w:sz w:val="24"/>
          <w:szCs w:val="24"/>
          <w:rtl/>
        </w:rPr>
        <w:t xml:space="preserve">, ואילו אשמתו של </w:t>
      </w:r>
      <w:r>
        <w:rPr>
          <w:rFonts w:ascii="David" w:hAnsi="David" w:cs="David" w:hint="cs"/>
          <w:sz w:val="24"/>
          <w:szCs w:val="24"/>
          <w:rtl/>
        </w:rPr>
        <w:t>האב</w:t>
      </w:r>
      <w:r w:rsidRPr="00BB0977">
        <w:rPr>
          <w:rFonts w:ascii="David" w:hAnsi="David" w:cs="David" w:hint="cs"/>
          <w:sz w:val="24"/>
          <w:szCs w:val="24"/>
          <w:rtl/>
        </w:rPr>
        <w:t xml:space="preserve">, בין אם מכוח פעולות אקטיביות של ניכור בפועל, ובין אם בשל היעדר פעולות לצורך חידוש הקשר בין </w:t>
      </w:r>
      <w:r>
        <w:rPr>
          <w:rFonts w:ascii="David" w:hAnsi="David" w:cs="David" w:hint="cs"/>
          <w:sz w:val="24"/>
          <w:szCs w:val="24"/>
          <w:rtl/>
        </w:rPr>
        <w:t xml:space="preserve">הבן, </w:t>
      </w:r>
      <w:r w:rsidRPr="00BB0977">
        <w:rPr>
          <w:rFonts w:ascii="David" w:hAnsi="David" w:cs="David" w:hint="cs"/>
          <w:sz w:val="24"/>
          <w:szCs w:val="24"/>
          <w:rtl/>
        </w:rPr>
        <w:t>ל</w:t>
      </w:r>
      <w:r>
        <w:rPr>
          <w:rFonts w:ascii="David" w:hAnsi="David" w:cs="David" w:hint="cs"/>
          <w:sz w:val="24"/>
          <w:szCs w:val="24"/>
          <w:rtl/>
        </w:rPr>
        <w:t>בין אמו</w:t>
      </w:r>
      <w:r w:rsidRPr="00BB0977">
        <w:rPr>
          <w:rFonts w:ascii="David" w:hAnsi="David" w:cs="David" w:hint="cs"/>
          <w:sz w:val="24"/>
          <w:szCs w:val="24"/>
          <w:rtl/>
        </w:rPr>
        <w:t xml:space="preserve">, פעולות אשר </w:t>
      </w:r>
      <w:r>
        <w:rPr>
          <w:rFonts w:ascii="David" w:hAnsi="David" w:cs="David" w:hint="cs"/>
          <w:sz w:val="24"/>
          <w:szCs w:val="24"/>
          <w:rtl/>
        </w:rPr>
        <w:t xml:space="preserve">האב </w:t>
      </w:r>
      <w:r w:rsidRPr="00BB0977">
        <w:rPr>
          <w:rFonts w:ascii="David" w:hAnsi="David" w:cs="David" w:hint="cs"/>
          <w:sz w:val="24"/>
          <w:szCs w:val="24"/>
          <w:rtl/>
        </w:rPr>
        <w:t xml:space="preserve">חב בהן, </w:t>
      </w:r>
      <w:r>
        <w:rPr>
          <w:rFonts w:ascii="David" w:hAnsi="David" w:cs="David" w:hint="cs"/>
          <w:sz w:val="24"/>
          <w:szCs w:val="24"/>
          <w:rtl/>
        </w:rPr>
        <w:t>בעיקר לטובת</w:t>
      </w:r>
      <w:r w:rsidRPr="00BB0977">
        <w:rPr>
          <w:rFonts w:ascii="David" w:hAnsi="David" w:cs="David" w:hint="cs"/>
          <w:sz w:val="24"/>
          <w:szCs w:val="24"/>
          <w:rtl/>
        </w:rPr>
        <w:t xml:space="preserve"> הקטין עצמו, מתחזקת. את </w:t>
      </w:r>
      <w:r>
        <w:rPr>
          <w:rFonts w:ascii="David" w:hAnsi="David" w:cs="David" w:hint="cs"/>
          <w:sz w:val="24"/>
          <w:szCs w:val="24"/>
          <w:rtl/>
        </w:rPr>
        <w:t>דברים אלה יש לקרוא יחד עם דברי</w:t>
      </w:r>
      <w:r w:rsidRPr="00BB0977">
        <w:rPr>
          <w:rFonts w:ascii="David" w:hAnsi="David" w:cs="David" w:hint="cs"/>
          <w:sz w:val="24"/>
          <w:szCs w:val="24"/>
          <w:rtl/>
        </w:rPr>
        <w:t xml:space="preserve"> בית משפט קמא, שבאו לידי ביטוי בסעיף 46, כדלקמן: </w:t>
      </w:r>
      <w:r w:rsidRPr="00BB0977">
        <w:rPr>
          <w:rFonts w:ascii="David" w:hAnsi="David" w:cs="David"/>
          <w:b/>
          <w:bCs/>
          <w:sz w:val="24"/>
          <w:szCs w:val="24"/>
          <w:rtl/>
        </w:rPr>
        <w:t xml:space="preserve">"[...] הגעתי למסקנה לפיה עלה בידי האם להוכיח כי האב התרשל בכך שלא פעל באופן אקטיבי, ואף פגע וסיכל, את האפשרות לקיום משמורת משותפת, וכן בכך שלא עודד ולא וידא קיומו של קשר תקין ורציף בין האם </w:t>
      </w:r>
      <w:r w:rsidR="004877EC">
        <w:rPr>
          <w:rFonts w:ascii="David" w:hAnsi="David" w:cs="David" w:hint="cs"/>
          <w:b/>
          <w:bCs/>
          <w:sz w:val="24"/>
          <w:szCs w:val="24"/>
          <w:rtl/>
        </w:rPr>
        <w:t>ל-מ'</w:t>
      </w:r>
      <w:r w:rsidRPr="00BB0977">
        <w:rPr>
          <w:rFonts w:ascii="David" w:hAnsi="David" w:cs="David" w:hint="cs"/>
          <w:b/>
          <w:bCs/>
          <w:sz w:val="24"/>
          <w:szCs w:val="24"/>
          <w:rtl/>
        </w:rPr>
        <w:t xml:space="preserve"> [...]."</w:t>
      </w:r>
      <w:r w:rsidRPr="00BB0977">
        <w:rPr>
          <w:rFonts w:ascii="David" w:hAnsi="David" w:cs="David"/>
          <w:b/>
          <w:bCs/>
          <w:sz w:val="24"/>
          <w:szCs w:val="24"/>
          <w:rtl/>
        </w:rPr>
        <w:t xml:space="preserve">  </w:t>
      </w:r>
    </w:p>
    <w:p w:rsidR="009A3EDE" w:rsidRPr="006576E5" w:rsidRDefault="009A3EDE" w:rsidP="009A3EDE">
      <w:pPr>
        <w:pStyle w:val="ad"/>
        <w:spacing w:line="360" w:lineRule="auto"/>
        <w:ind w:left="226"/>
        <w:jc w:val="both"/>
        <w:rPr>
          <w:rFonts w:ascii="David" w:hAnsi="David" w:cs="David"/>
          <w:b/>
          <w:bCs/>
          <w:sz w:val="24"/>
          <w:szCs w:val="24"/>
        </w:rPr>
      </w:pPr>
    </w:p>
    <w:p w:rsidR="009A3EDE" w:rsidRPr="009F52BA" w:rsidRDefault="009A3EDE" w:rsidP="004877EC">
      <w:pPr>
        <w:pStyle w:val="ad"/>
        <w:numPr>
          <w:ilvl w:val="0"/>
          <w:numId w:val="3"/>
        </w:numPr>
        <w:spacing w:line="360" w:lineRule="auto"/>
        <w:ind w:left="232"/>
        <w:jc w:val="both"/>
        <w:rPr>
          <w:rFonts w:ascii="David" w:hAnsi="David" w:cs="David"/>
          <w:b/>
          <w:bCs/>
          <w:sz w:val="24"/>
          <w:szCs w:val="24"/>
          <w:rtl/>
        </w:rPr>
      </w:pPr>
      <w:r w:rsidRPr="009F52BA">
        <w:rPr>
          <w:rFonts w:ascii="David" w:hAnsi="David" w:cs="David" w:hint="cs"/>
          <w:sz w:val="24"/>
          <w:szCs w:val="24"/>
          <w:rtl/>
        </w:rPr>
        <w:t xml:space="preserve">אינני שותפה למסקנתו של כב' השופט שרעבי כי האם לא אמרה אמת בתיק הנזקקות עת טענה שהבן </w:t>
      </w:r>
      <w:r w:rsidR="00820F03">
        <w:rPr>
          <w:rFonts w:ascii="David" w:hAnsi="David" w:cs="David" w:hint="cs"/>
          <w:sz w:val="24"/>
          <w:szCs w:val="24"/>
          <w:rtl/>
        </w:rPr>
        <w:t>מ</w:t>
      </w:r>
      <w:r w:rsidR="00820F03">
        <w:rPr>
          <w:rFonts w:ascii="David" w:hAnsi="David" w:cs="David"/>
          <w:sz w:val="24"/>
          <w:szCs w:val="24"/>
          <w:rtl/>
        </w:rPr>
        <w:t>'</w:t>
      </w:r>
      <w:r w:rsidR="00820F03">
        <w:rPr>
          <w:rFonts w:ascii="David" w:hAnsi="David" w:cs="David" w:hint="cs"/>
          <w:sz w:val="24"/>
          <w:szCs w:val="24"/>
          <w:rtl/>
        </w:rPr>
        <w:t xml:space="preserve"> </w:t>
      </w:r>
      <w:r w:rsidRPr="009F52BA">
        <w:rPr>
          <w:rFonts w:ascii="David" w:hAnsi="David" w:cs="David" w:hint="cs"/>
          <w:sz w:val="24"/>
          <w:szCs w:val="24"/>
          <w:rtl/>
        </w:rPr>
        <w:t>היכה אותה בפטיש בכל חלקי גופה. בפרוטוקול הדיון בהליך הנזקקות, טענה האם כי: "</w:t>
      </w:r>
      <w:r w:rsidRPr="009F52BA">
        <w:rPr>
          <w:rFonts w:ascii="David" w:hAnsi="David" w:cs="David" w:hint="cs"/>
          <w:b/>
          <w:bCs/>
          <w:sz w:val="24"/>
          <w:szCs w:val="24"/>
          <w:rtl/>
        </w:rPr>
        <w:t>האלימות נמשכה מספר שעות עד שהתקשרתי למוקד מכבי כדי לבקש הפנייה לפסיכיאטר כי הילד</w:t>
      </w:r>
      <w:r w:rsidRPr="009F52BA">
        <w:rPr>
          <w:rFonts w:ascii="David" w:hAnsi="David" w:cs="David" w:hint="cs"/>
          <w:sz w:val="24"/>
          <w:szCs w:val="24"/>
          <w:rtl/>
        </w:rPr>
        <w:t xml:space="preserve"> </w:t>
      </w:r>
      <w:r w:rsidRPr="009F52BA">
        <w:rPr>
          <w:rFonts w:ascii="David" w:hAnsi="David" w:cs="David" w:hint="cs"/>
          <w:b/>
          <w:bCs/>
          <w:sz w:val="24"/>
          <w:szCs w:val="24"/>
          <w:rtl/>
        </w:rPr>
        <w:t xml:space="preserve">לקח פטיש והיכה אותי בכל הגוף" </w:t>
      </w:r>
      <w:r w:rsidRPr="009F52BA">
        <w:rPr>
          <w:rFonts w:ascii="David" w:hAnsi="David" w:cs="David" w:hint="cs"/>
          <w:sz w:val="24"/>
          <w:szCs w:val="24"/>
          <w:rtl/>
        </w:rPr>
        <w:t xml:space="preserve">(עמ' 3 ש' 16-17 לפרוטוקול מיום 10.01.2017 בתיק </w:t>
      </w:r>
      <w:r w:rsidR="004877EC">
        <w:rPr>
          <w:rFonts w:ascii="David" w:hAnsi="David" w:cs="David" w:hint="cs"/>
          <w:sz w:val="24"/>
          <w:szCs w:val="24"/>
          <w:rtl/>
        </w:rPr>
        <w:t>00000</w:t>
      </w:r>
      <w:r w:rsidRPr="009F52BA">
        <w:rPr>
          <w:rFonts w:ascii="David" w:hAnsi="David" w:cs="David" w:hint="cs"/>
          <w:sz w:val="24"/>
          <w:szCs w:val="24"/>
          <w:rtl/>
        </w:rPr>
        <w:t>-</w:t>
      </w:r>
      <w:r w:rsidR="004877EC">
        <w:rPr>
          <w:rFonts w:ascii="David" w:hAnsi="David" w:cs="David" w:hint="cs"/>
          <w:sz w:val="24"/>
          <w:szCs w:val="24"/>
          <w:rtl/>
        </w:rPr>
        <w:t>00</w:t>
      </w:r>
      <w:r w:rsidRPr="009F52BA">
        <w:rPr>
          <w:rFonts w:ascii="David" w:hAnsi="David" w:cs="David" w:hint="cs"/>
          <w:sz w:val="24"/>
          <w:szCs w:val="24"/>
          <w:rtl/>
        </w:rPr>
        <w:t>-16)</w:t>
      </w:r>
      <w:r w:rsidRPr="009F52BA">
        <w:rPr>
          <w:rFonts w:ascii="David" w:hAnsi="David" w:cs="David" w:hint="cs"/>
          <w:b/>
          <w:bCs/>
          <w:sz w:val="24"/>
          <w:szCs w:val="24"/>
          <w:rtl/>
        </w:rPr>
        <w:t xml:space="preserve">. </w:t>
      </w:r>
      <w:r w:rsidRPr="009F52BA">
        <w:rPr>
          <w:rFonts w:ascii="David" w:hAnsi="David" w:cs="David" w:hint="cs"/>
          <w:sz w:val="24"/>
          <w:szCs w:val="24"/>
          <w:rtl/>
        </w:rPr>
        <w:t xml:space="preserve">אינני סבורה כי ניתן להישען על משפט זה ולהסיק כי "האם לא היססה לומר לא אמת בדבר אלימותו של </w:t>
      </w:r>
      <w:r w:rsidR="00820F03">
        <w:rPr>
          <w:rFonts w:ascii="David" w:hAnsi="David" w:cs="David" w:hint="cs"/>
          <w:sz w:val="24"/>
          <w:szCs w:val="24"/>
          <w:rtl/>
        </w:rPr>
        <w:t>מ</w:t>
      </w:r>
      <w:r w:rsidR="00820F03">
        <w:rPr>
          <w:rFonts w:ascii="David" w:hAnsi="David" w:cs="David"/>
          <w:sz w:val="24"/>
          <w:szCs w:val="24"/>
          <w:rtl/>
        </w:rPr>
        <w:t>'</w:t>
      </w:r>
      <w:r w:rsidR="00820F03">
        <w:rPr>
          <w:rFonts w:ascii="David" w:hAnsi="David" w:cs="David" w:hint="cs"/>
          <w:sz w:val="24"/>
          <w:szCs w:val="24"/>
          <w:rtl/>
        </w:rPr>
        <w:t xml:space="preserve"> </w:t>
      </w:r>
      <w:r w:rsidRPr="009F52BA">
        <w:rPr>
          <w:rFonts w:ascii="David" w:hAnsi="David" w:cs="David" w:hint="cs"/>
          <w:sz w:val="24"/>
          <w:szCs w:val="24"/>
          <w:rtl/>
        </w:rPr>
        <w:t xml:space="preserve">כלפיה", כדבריו וכן אני סבורה שאין בו די כדי להגדיל את </w:t>
      </w:r>
      <w:r w:rsidRPr="009F52BA">
        <w:rPr>
          <w:rFonts w:ascii="David" w:hAnsi="David" w:cs="David" w:hint="cs"/>
          <w:sz w:val="24"/>
          <w:szCs w:val="24"/>
          <w:rtl/>
        </w:rPr>
        <w:lastRenderedPageBreak/>
        <w:t xml:space="preserve">האשם התורם המיוחס לה. וכל זאת מדוע? משום שלאחר חצי שנה בהליך הפלילי </w:t>
      </w:r>
      <w:r w:rsidRPr="009F52BA">
        <w:rPr>
          <w:rFonts w:ascii="David" w:hAnsi="David" w:cs="David" w:hint="eastAsia"/>
          <w:sz w:val="24"/>
          <w:szCs w:val="24"/>
          <w:rtl/>
        </w:rPr>
        <w:t>ת</w:t>
      </w:r>
      <w:r w:rsidRPr="009F52BA">
        <w:rPr>
          <w:rFonts w:ascii="David" w:hAnsi="David" w:cs="David"/>
          <w:sz w:val="24"/>
          <w:szCs w:val="24"/>
          <w:rtl/>
        </w:rPr>
        <w:t xml:space="preserve">"פ </w:t>
      </w:r>
      <w:r w:rsidR="004877EC">
        <w:rPr>
          <w:rFonts w:ascii="David" w:hAnsi="David" w:cs="David" w:hint="cs"/>
          <w:sz w:val="24"/>
          <w:szCs w:val="24"/>
          <w:rtl/>
        </w:rPr>
        <w:t>00000</w:t>
      </w:r>
      <w:r w:rsidRPr="009F52BA">
        <w:rPr>
          <w:rFonts w:ascii="David" w:hAnsi="David" w:cs="David"/>
          <w:sz w:val="24"/>
          <w:szCs w:val="24"/>
          <w:rtl/>
        </w:rPr>
        <w:t>-</w:t>
      </w:r>
      <w:r w:rsidR="004877EC">
        <w:rPr>
          <w:rFonts w:ascii="David" w:hAnsi="David" w:cs="David" w:hint="cs"/>
          <w:sz w:val="24"/>
          <w:szCs w:val="24"/>
          <w:rtl/>
        </w:rPr>
        <w:t>00</w:t>
      </w:r>
      <w:r w:rsidRPr="009F52BA">
        <w:rPr>
          <w:rFonts w:ascii="David" w:hAnsi="David" w:cs="David"/>
          <w:sz w:val="24"/>
          <w:szCs w:val="24"/>
          <w:rtl/>
        </w:rPr>
        <w:t>-13,</w:t>
      </w:r>
      <w:r w:rsidRPr="009F52BA">
        <w:rPr>
          <w:rFonts w:ascii="David" w:hAnsi="David" w:cs="David" w:hint="cs"/>
          <w:sz w:val="24"/>
          <w:szCs w:val="24"/>
          <w:rtl/>
        </w:rPr>
        <w:t xml:space="preserve"> נשאלה האם כדלקמן: "</w:t>
      </w:r>
      <w:r w:rsidRPr="009F52BA">
        <w:rPr>
          <w:rFonts w:ascii="David" w:hAnsi="David" w:cs="David" w:hint="cs"/>
          <w:b/>
          <w:bCs/>
          <w:sz w:val="24"/>
          <w:szCs w:val="24"/>
          <w:rtl/>
        </w:rPr>
        <w:t xml:space="preserve">ש. בהיותך עושה רושם של אישה אינטליגנטית ונעימה, בבית משפט לנוער בחיפה ביום 10.1 טענת בבית המשפט שהזהיר אותך לומר אמת שהילד לקח פטיש והיכה אותי בכל הגוף. ואילו בבית משפט בפני מותב אחר שתאריך אחר 26.11.14 אמרת "הוא לקח פטיש ורצה לבעוט בי. באתי לילד והוצאתי לו את הפטיש מהיד". הוא הרביץ לך או לא הרביץ לך? </w:t>
      </w:r>
      <w:r w:rsidRPr="009F52BA">
        <w:rPr>
          <w:rFonts w:ascii="David" w:hAnsi="David" w:cs="David" w:hint="cs"/>
          <w:sz w:val="24"/>
          <w:szCs w:val="24"/>
          <w:rtl/>
        </w:rPr>
        <w:t>השיבה האם כדלקמן</w:t>
      </w:r>
      <w:r w:rsidRPr="009F52BA">
        <w:rPr>
          <w:rFonts w:ascii="David" w:hAnsi="David" w:cs="David" w:hint="cs"/>
          <w:b/>
          <w:bCs/>
          <w:sz w:val="24"/>
          <w:szCs w:val="24"/>
          <w:rtl/>
        </w:rPr>
        <w:t>: ת. אני לא יודע מי אמר את האמרה הראשונה. אני אומרת לך מה היה. הוא לא הרביץ לי עם הפטיש, אני לקחתי את הפטיש ממנו מהידיים [...]</w:t>
      </w:r>
      <w:r w:rsidRPr="009F52BA">
        <w:rPr>
          <w:rFonts w:ascii="David" w:hAnsi="David" w:cs="David" w:hint="cs"/>
          <w:sz w:val="24"/>
          <w:szCs w:val="24"/>
          <w:rtl/>
        </w:rPr>
        <w:t>". (פרוטוקול הדיון מיום 04.06.2017 עמ' 6 ש' 26-27).</w:t>
      </w:r>
      <w:r w:rsidRPr="009F52BA">
        <w:rPr>
          <w:rFonts w:ascii="David" w:hAnsi="David" w:cs="David" w:hint="cs"/>
          <w:b/>
          <w:bCs/>
          <w:sz w:val="24"/>
          <w:szCs w:val="24"/>
          <w:rtl/>
        </w:rPr>
        <w:t xml:space="preserve"> </w:t>
      </w:r>
      <w:r w:rsidRPr="009F52BA">
        <w:rPr>
          <w:rFonts w:ascii="David" w:hAnsi="David" w:cs="David" w:hint="cs"/>
          <w:sz w:val="24"/>
          <w:szCs w:val="24"/>
          <w:rtl/>
        </w:rPr>
        <w:t xml:space="preserve">כאמור, לא נכתב בפרוטוקול הדיון באופן ברור וחד משמעי כי הקטין לקח פטיש והיכה עם הפטיש את האם בכל חלקי גופה. והראיה לכך היא כי הצד שכנגד חקר את האם על נושא זה </w:t>
      </w:r>
      <w:r w:rsidRPr="009F52BA">
        <w:rPr>
          <w:rFonts w:ascii="David" w:hAnsi="David" w:cs="David"/>
          <w:sz w:val="24"/>
          <w:szCs w:val="24"/>
          <w:rtl/>
        </w:rPr>
        <w:t>–</w:t>
      </w:r>
      <w:r w:rsidRPr="009F52BA">
        <w:rPr>
          <w:rFonts w:ascii="David" w:hAnsi="David" w:cs="David" w:hint="cs"/>
          <w:sz w:val="24"/>
          <w:szCs w:val="24"/>
          <w:rtl/>
        </w:rPr>
        <w:t xml:space="preserve"> האם הרביץ לך עם פטיש או לא הרביץ לך עם פטיש, וכי קיימת אמירה אחרת של האם בשנת 2014. </w:t>
      </w:r>
      <w:r w:rsidRPr="009F52BA">
        <w:rPr>
          <w:rFonts w:ascii="David" w:hAnsi="David" w:cs="David" w:hint="cs"/>
          <w:b/>
          <w:bCs/>
          <w:sz w:val="24"/>
          <w:szCs w:val="24"/>
          <w:rtl/>
        </w:rPr>
        <w:t xml:space="preserve">"לא יודעת מי אמר את האמרה הראשונה, אני אומרת לך הוא לא הרביץ לי עם פטיש". </w:t>
      </w:r>
    </w:p>
    <w:p w:rsidR="009A3EDE" w:rsidRPr="004511A7" w:rsidRDefault="009A3EDE" w:rsidP="009A3EDE">
      <w:pPr>
        <w:pStyle w:val="ad"/>
        <w:spacing w:line="360" w:lineRule="auto"/>
        <w:ind w:left="226"/>
        <w:jc w:val="both"/>
        <w:rPr>
          <w:rFonts w:ascii="David" w:hAnsi="David" w:cs="David"/>
          <w:sz w:val="24"/>
          <w:szCs w:val="24"/>
        </w:rPr>
      </w:pPr>
    </w:p>
    <w:p w:rsidR="009A3EDE" w:rsidRPr="009F52BA" w:rsidRDefault="009A3EDE" w:rsidP="009A3EDE">
      <w:pPr>
        <w:pStyle w:val="ad"/>
        <w:numPr>
          <w:ilvl w:val="0"/>
          <w:numId w:val="3"/>
        </w:numPr>
        <w:spacing w:line="360" w:lineRule="auto"/>
        <w:ind w:left="226"/>
        <w:jc w:val="both"/>
        <w:rPr>
          <w:rFonts w:ascii="David" w:hAnsi="David" w:cs="David"/>
          <w:color w:val="000000"/>
          <w:sz w:val="24"/>
          <w:szCs w:val="24"/>
        </w:rPr>
      </w:pPr>
      <w:r w:rsidRPr="004511A7">
        <w:rPr>
          <w:rFonts w:ascii="David" w:hAnsi="David" w:cs="David" w:hint="cs"/>
          <w:sz w:val="24"/>
          <w:szCs w:val="24"/>
          <w:rtl/>
        </w:rPr>
        <w:t>אל נשכח כי ה</w:t>
      </w:r>
      <w:r w:rsidRPr="004511A7">
        <w:rPr>
          <w:rFonts w:ascii="David" w:hAnsi="David" w:cs="David"/>
          <w:sz w:val="24"/>
          <w:szCs w:val="24"/>
          <w:rtl/>
        </w:rPr>
        <w:t>מבחן העקרוני לשיעור החלתו של האשם התורם הוא מבחן חלוקת האחריות</w:t>
      </w:r>
      <w:r w:rsidRPr="004511A7">
        <w:rPr>
          <w:rFonts w:ascii="David" w:hAnsi="David" w:cs="David" w:hint="cs"/>
          <w:sz w:val="24"/>
          <w:szCs w:val="24"/>
          <w:rtl/>
        </w:rPr>
        <w:t xml:space="preserve">. </w:t>
      </w:r>
    </w:p>
    <w:p w:rsidR="009A3EDE" w:rsidRDefault="009A3EDE" w:rsidP="009A3EDE">
      <w:pPr>
        <w:pStyle w:val="ad"/>
        <w:spacing w:line="360" w:lineRule="auto"/>
        <w:ind w:left="226"/>
        <w:jc w:val="both"/>
        <w:rPr>
          <w:rFonts w:ascii="David" w:hAnsi="David" w:cs="David"/>
          <w:sz w:val="24"/>
          <w:szCs w:val="24"/>
          <w:rtl/>
        </w:rPr>
      </w:pPr>
    </w:p>
    <w:p w:rsidR="009A3EDE" w:rsidRDefault="009A3EDE" w:rsidP="009A3EDE">
      <w:pPr>
        <w:pStyle w:val="ad"/>
        <w:spacing w:line="360" w:lineRule="auto"/>
        <w:ind w:left="226"/>
        <w:jc w:val="both"/>
        <w:rPr>
          <w:rFonts w:ascii="David" w:hAnsi="David" w:cs="David"/>
          <w:color w:val="000000"/>
          <w:sz w:val="24"/>
          <w:szCs w:val="24"/>
          <w:rtl/>
        </w:rPr>
      </w:pPr>
      <w:r w:rsidRPr="009F52BA">
        <w:rPr>
          <w:rFonts w:ascii="David" w:hAnsi="David" w:cs="David"/>
          <w:b/>
          <w:bCs/>
          <w:color w:val="000000"/>
          <w:sz w:val="24"/>
          <w:szCs w:val="24"/>
          <w:rtl/>
        </w:rPr>
        <w:t>"על בסיס גישה עקרונית זו תיעשה חלוקת האחריות בין המזיק לבין הניזוק, הנושא באשם תורם, על-פי המבחן של "מידת האשמה". עיקרו של המבחן הוא בהצבת מעשי הרשלנות של המזיק והניזוק זה מול זה, כדי להשוות ולהעריך, מבחינת האשמה המוסרית, את מידתם ומשקלם של מעשיו ומחדליו של כל צד. מידת האשמה המוסרית עולה בעיקר מתוך בחינת התנהגותם של הנוגעים בדבר במקרה הקונקרטי, אשר נדון לפני בית המשפט, אם כי לעתים ייזקק בית המשפט למבחן חיצוני, המפנה אל רמתו של האדם הסביר</w:t>
      </w:r>
      <w:r w:rsidRPr="009F52BA">
        <w:rPr>
          <w:rFonts w:ascii="David" w:hAnsi="David" w:cs="David" w:hint="cs"/>
          <w:b/>
          <w:bCs/>
          <w:color w:val="000000"/>
          <w:sz w:val="24"/>
          <w:szCs w:val="24"/>
          <w:rtl/>
        </w:rPr>
        <w:t xml:space="preserve">" </w:t>
      </w:r>
      <w:r w:rsidRPr="009F52BA">
        <w:rPr>
          <w:rFonts w:ascii="David" w:hAnsi="David" w:cs="David"/>
          <w:sz w:val="24"/>
          <w:szCs w:val="24"/>
          <w:rtl/>
        </w:rPr>
        <w:t>(עיינו לדוגמא ע"א 417/81 </w:t>
      </w:r>
      <w:r w:rsidRPr="009F52BA">
        <w:rPr>
          <w:rFonts w:ascii="David" w:hAnsi="David" w:cs="David"/>
          <w:b/>
          <w:bCs/>
          <w:sz w:val="24"/>
          <w:szCs w:val="24"/>
          <w:rtl/>
        </w:rPr>
        <w:t xml:space="preserve">מלון רמדה שלום נ' אליהו אמסלם, </w:t>
      </w:r>
      <w:r w:rsidRPr="009F52BA">
        <w:rPr>
          <w:rFonts w:ascii="David" w:hAnsi="David" w:cs="David"/>
          <w:sz w:val="24"/>
          <w:szCs w:val="24"/>
          <w:rtl/>
        </w:rPr>
        <w:t>לח(1) 072 (1984)‏</w:t>
      </w:r>
      <w:r w:rsidRPr="009F52BA">
        <w:rPr>
          <w:rFonts w:ascii="David" w:hAnsi="David" w:cs="David"/>
          <w:color w:val="000000"/>
          <w:sz w:val="24"/>
          <w:szCs w:val="24"/>
          <w:rtl/>
        </w:rPr>
        <w:t>‏)</w:t>
      </w:r>
      <w:r w:rsidRPr="009F52BA">
        <w:rPr>
          <w:rFonts w:ascii="David" w:hAnsi="David" w:cs="David" w:hint="cs"/>
          <w:color w:val="000000"/>
          <w:sz w:val="24"/>
          <w:szCs w:val="24"/>
          <w:rtl/>
        </w:rPr>
        <w:t>.</w:t>
      </w:r>
      <w:r w:rsidRPr="009F52BA">
        <w:rPr>
          <w:rFonts w:ascii="David" w:hAnsi="David" w:cs="David"/>
          <w:color w:val="000000"/>
          <w:sz w:val="24"/>
          <w:szCs w:val="24"/>
          <w:rtl/>
        </w:rPr>
        <w:t xml:space="preserve"> </w:t>
      </w:r>
    </w:p>
    <w:p w:rsidR="009A3EDE" w:rsidRPr="009F52BA" w:rsidRDefault="009A3EDE" w:rsidP="009A3EDE">
      <w:pPr>
        <w:pStyle w:val="ad"/>
        <w:spacing w:line="360" w:lineRule="auto"/>
        <w:ind w:left="226"/>
        <w:jc w:val="both"/>
        <w:rPr>
          <w:rFonts w:ascii="David" w:hAnsi="David" w:cs="David"/>
          <w:color w:val="000000"/>
          <w:sz w:val="24"/>
          <w:szCs w:val="24"/>
          <w:rtl/>
        </w:rPr>
      </w:pPr>
    </w:p>
    <w:p w:rsidR="009A3EDE" w:rsidRPr="004511A7" w:rsidRDefault="009A3EDE" w:rsidP="009A3EDE">
      <w:pPr>
        <w:pStyle w:val="ad"/>
        <w:spacing w:line="360" w:lineRule="auto"/>
        <w:ind w:left="226" w:right="142"/>
        <w:jc w:val="both"/>
        <w:rPr>
          <w:rFonts w:ascii="David" w:hAnsi="David" w:cs="David"/>
          <w:color w:val="000000"/>
          <w:sz w:val="24"/>
          <w:szCs w:val="24"/>
          <w:rtl/>
        </w:rPr>
      </w:pPr>
      <w:r>
        <w:rPr>
          <w:rFonts w:ascii="David" w:hAnsi="David" w:cs="David" w:hint="cs"/>
          <w:sz w:val="24"/>
          <w:szCs w:val="24"/>
          <w:rtl/>
        </w:rPr>
        <w:t xml:space="preserve">כאמור, בית משפט קמא הוא זה </w:t>
      </w:r>
      <w:r w:rsidRPr="004511A7">
        <w:rPr>
          <w:rFonts w:ascii="David" w:hAnsi="David" w:cs="David" w:hint="cs"/>
          <w:sz w:val="24"/>
          <w:szCs w:val="24"/>
          <w:rtl/>
        </w:rPr>
        <w:t xml:space="preserve">שהתוודע לצדדים באופן ישיר והעריך את האחריות וחלוקת האשם למצב בו מצויה </w:t>
      </w:r>
      <w:r>
        <w:rPr>
          <w:rFonts w:ascii="David" w:hAnsi="David" w:cs="David" w:hint="cs"/>
          <w:sz w:val="24"/>
          <w:szCs w:val="24"/>
          <w:rtl/>
        </w:rPr>
        <w:t xml:space="preserve">האם </w:t>
      </w:r>
      <w:r w:rsidRPr="004511A7">
        <w:rPr>
          <w:rFonts w:ascii="David" w:hAnsi="David" w:cs="David" w:hint="cs"/>
          <w:sz w:val="24"/>
          <w:szCs w:val="24"/>
          <w:rtl/>
        </w:rPr>
        <w:t>(והקטין)</w:t>
      </w:r>
      <w:r>
        <w:rPr>
          <w:rFonts w:ascii="David" w:hAnsi="David" w:cs="David" w:hint="cs"/>
          <w:sz w:val="24"/>
          <w:szCs w:val="24"/>
          <w:rtl/>
        </w:rPr>
        <w:t xml:space="preserve">, נכון למועד בירור התביעה. </w:t>
      </w:r>
      <w:r w:rsidRPr="004511A7">
        <w:rPr>
          <w:rFonts w:ascii="David" w:hAnsi="David" w:cs="David" w:hint="cs"/>
          <w:sz w:val="24"/>
          <w:szCs w:val="24"/>
          <w:rtl/>
        </w:rPr>
        <w:t>הוא זה ש</w:t>
      </w:r>
      <w:r>
        <w:rPr>
          <w:rFonts w:ascii="David" w:hAnsi="David" w:cs="David" w:hint="cs"/>
          <w:sz w:val="24"/>
          <w:szCs w:val="24"/>
          <w:rtl/>
        </w:rPr>
        <w:t>העריך את מידת האשם</w:t>
      </w:r>
      <w:r w:rsidRPr="004511A7">
        <w:rPr>
          <w:rFonts w:ascii="David" w:hAnsi="David" w:cs="David" w:hint="cs"/>
          <w:sz w:val="24"/>
          <w:szCs w:val="24"/>
          <w:rtl/>
        </w:rPr>
        <w:t xml:space="preserve"> של הצדדים, הן ביחס למעשיהם ו</w:t>
      </w:r>
      <w:r>
        <w:rPr>
          <w:rFonts w:ascii="David" w:hAnsi="David" w:cs="David" w:hint="cs"/>
          <w:sz w:val="24"/>
          <w:szCs w:val="24"/>
          <w:rtl/>
        </w:rPr>
        <w:t xml:space="preserve">/או </w:t>
      </w:r>
      <w:r w:rsidRPr="004511A7">
        <w:rPr>
          <w:rFonts w:ascii="David" w:hAnsi="David" w:cs="David" w:hint="cs"/>
          <w:sz w:val="24"/>
          <w:szCs w:val="24"/>
          <w:rtl/>
        </w:rPr>
        <w:t>מחדליהם.</w:t>
      </w:r>
      <w:r>
        <w:rPr>
          <w:rFonts w:ascii="David" w:hAnsi="David" w:cs="David" w:hint="cs"/>
          <w:sz w:val="24"/>
          <w:szCs w:val="24"/>
          <w:rtl/>
        </w:rPr>
        <w:t xml:space="preserve"> ובמובן זה לערכאה הדיונית יתרון על פני ערכאת הערעור. </w:t>
      </w:r>
      <w:r w:rsidRPr="004333E5">
        <w:rPr>
          <w:rFonts w:ascii="David" w:hAnsi="David" w:cs="David" w:hint="cs"/>
          <w:sz w:val="24"/>
          <w:szCs w:val="24"/>
          <w:rtl/>
        </w:rPr>
        <w:t xml:space="preserve">הלכה ידועה היא כי: </w:t>
      </w:r>
      <w:r w:rsidRPr="004333E5">
        <w:rPr>
          <w:rFonts w:ascii="David" w:hAnsi="David" w:cs="David"/>
          <w:b/>
          <w:bCs/>
          <w:color w:val="000000"/>
          <w:sz w:val="24"/>
          <w:szCs w:val="24"/>
          <w:rtl/>
        </w:rPr>
        <w:t>"מידת ההפחתה של הפיצוי בשל אשם תורם מסורה לשיקול דעתו של בית המשפט הדן בעניין, והכלל הוא כי ערכאת הערעור אינה נוהגת להתערב בכגון דא אלא במשורה ובמקרים חריגים המצדיקים זאת</w:t>
      </w:r>
      <w:r w:rsidRPr="004333E5">
        <w:rPr>
          <w:rFonts w:ascii="David" w:hAnsi="David" w:cs="David"/>
          <w:b/>
          <w:bCs/>
          <w:color w:val="000000"/>
          <w:sz w:val="24"/>
          <w:szCs w:val="24"/>
        </w:rPr>
        <w:t>"</w:t>
      </w:r>
      <w:r w:rsidRPr="004333E5">
        <w:rPr>
          <w:rFonts w:ascii="David" w:hAnsi="David" w:cs="David" w:hint="cs"/>
          <w:sz w:val="24"/>
          <w:szCs w:val="24"/>
          <w:rtl/>
        </w:rPr>
        <w:t xml:space="preserve"> </w:t>
      </w:r>
      <w:r w:rsidRPr="004333E5">
        <w:rPr>
          <w:rFonts w:ascii="David" w:hAnsi="David" w:cs="David"/>
          <w:sz w:val="24"/>
          <w:szCs w:val="24"/>
          <w:rtl/>
        </w:rPr>
        <w:t>(עיינו לדוגמא ע"א 2906/01 </w:t>
      </w:r>
      <w:r w:rsidRPr="004333E5">
        <w:rPr>
          <w:rFonts w:ascii="David" w:hAnsi="David" w:cs="David"/>
          <w:b/>
          <w:bCs/>
          <w:sz w:val="24"/>
          <w:szCs w:val="24"/>
          <w:rtl/>
        </w:rPr>
        <w:t>עירית חיפה נ' מנורה חברה לביטוח בע"מ</w:t>
      </w:r>
      <w:r w:rsidRPr="004333E5">
        <w:rPr>
          <w:rFonts w:ascii="David" w:hAnsi="David" w:cs="David"/>
          <w:sz w:val="24"/>
          <w:szCs w:val="24"/>
          <w:rtl/>
        </w:rPr>
        <w:t> (נבו 25.5.2006)‏</w:t>
      </w:r>
      <w:r w:rsidRPr="004333E5">
        <w:rPr>
          <w:rFonts w:ascii="David" w:hAnsi="David" w:cs="David"/>
          <w:color w:val="000000"/>
          <w:sz w:val="24"/>
          <w:szCs w:val="24"/>
          <w:rtl/>
        </w:rPr>
        <w:t>‏)</w:t>
      </w:r>
      <w:r w:rsidRPr="004333E5">
        <w:rPr>
          <w:rFonts w:ascii="David" w:hAnsi="David" w:cs="David" w:hint="cs"/>
          <w:sz w:val="24"/>
          <w:szCs w:val="24"/>
          <w:rtl/>
        </w:rPr>
        <w:t xml:space="preserve">. </w:t>
      </w:r>
      <w:r>
        <w:rPr>
          <w:rFonts w:ascii="David" w:hAnsi="David" w:cs="David" w:hint="cs"/>
          <w:sz w:val="24"/>
          <w:szCs w:val="24"/>
          <w:rtl/>
        </w:rPr>
        <w:t xml:space="preserve">כאמור, </w:t>
      </w:r>
      <w:r w:rsidRPr="004333E5">
        <w:rPr>
          <w:rFonts w:ascii="David" w:hAnsi="David" w:cs="David" w:hint="cs"/>
          <w:sz w:val="24"/>
          <w:szCs w:val="24"/>
          <w:rtl/>
        </w:rPr>
        <w:t xml:space="preserve">אינני סבורה </w:t>
      </w:r>
      <w:r>
        <w:rPr>
          <w:rFonts w:ascii="David" w:hAnsi="David" w:cs="David" w:hint="cs"/>
          <w:sz w:val="24"/>
          <w:szCs w:val="24"/>
          <w:rtl/>
        </w:rPr>
        <w:t>ש</w:t>
      </w:r>
      <w:r w:rsidRPr="004333E5">
        <w:rPr>
          <w:rFonts w:ascii="David" w:hAnsi="David" w:cs="David" w:hint="cs"/>
          <w:sz w:val="24"/>
          <w:szCs w:val="24"/>
          <w:rtl/>
        </w:rPr>
        <w:t>החלטת בית משפט קמא ביחס לחלוקת האחריות והאשם התורם הינה חריגה באופן המחייב התערבות.</w:t>
      </w:r>
    </w:p>
    <w:p w:rsidR="009A3EDE" w:rsidRPr="004511A7" w:rsidRDefault="009A3EDE" w:rsidP="009A3EDE">
      <w:pPr>
        <w:pStyle w:val="ad"/>
        <w:spacing w:line="360" w:lineRule="auto"/>
        <w:ind w:left="226"/>
        <w:jc w:val="both"/>
        <w:rPr>
          <w:rFonts w:ascii="David" w:hAnsi="David" w:cs="David"/>
          <w:sz w:val="24"/>
          <w:szCs w:val="24"/>
        </w:rPr>
      </w:pPr>
    </w:p>
    <w:p w:rsidR="009A3EDE" w:rsidRPr="009F52BA" w:rsidRDefault="009A3EDE" w:rsidP="009A3EDE">
      <w:pPr>
        <w:pStyle w:val="ad"/>
        <w:numPr>
          <w:ilvl w:val="0"/>
          <w:numId w:val="3"/>
        </w:numPr>
        <w:spacing w:line="360" w:lineRule="auto"/>
        <w:ind w:left="226"/>
        <w:jc w:val="both"/>
        <w:rPr>
          <w:rFonts w:ascii="David" w:hAnsi="David" w:cs="David"/>
          <w:sz w:val="24"/>
          <w:szCs w:val="24"/>
          <w:rtl/>
        </w:rPr>
      </w:pPr>
      <w:r w:rsidRPr="009F52BA">
        <w:rPr>
          <w:rFonts w:ascii="David" w:hAnsi="David" w:cs="David"/>
          <w:b/>
          <w:bCs/>
          <w:color w:val="000000"/>
          <w:sz w:val="24"/>
          <w:szCs w:val="24"/>
          <w:rtl/>
        </w:rPr>
        <w:t>‏</w:t>
      </w:r>
      <w:r w:rsidRPr="009F52BA">
        <w:rPr>
          <w:rFonts w:ascii="David" w:hAnsi="David" w:cs="David" w:hint="cs"/>
          <w:b/>
          <w:bCs/>
          <w:color w:val="000000"/>
          <w:sz w:val="24"/>
          <w:szCs w:val="24"/>
          <w:rtl/>
        </w:rPr>
        <w:t xml:space="preserve"> "</w:t>
      </w:r>
      <w:r w:rsidRPr="009F52BA">
        <w:rPr>
          <w:rFonts w:ascii="David" w:hAnsi="David" w:cs="David"/>
          <w:b/>
          <w:bCs/>
          <w:color w:val="000000"/>
          <w:sz w:val="24"/>
          <w:szCs w:val="24"/>
          <w:rtl/>
        </w:rPr>
        <w:t>שיעור הרשלנות התורמת – כמו גם אופן חלוקת האחריות בין מספר מזיקים – אינו נקבע בדיוק מתמטי, והוא עניין להערכה המסורה, מטבע הדברים, לערכאה הדיונית, ששמעה את הראיות והתרשמה ישירות מהעדים שהופיעו בפניה. כלל נקוט עמנו מימים ימימה, כי ערכאת הערעור לא תתערב בשיעור האשם התורם שנקבע על ידי הערכאה הדיונית, אלא במשורה, במקרים חריגים וכאשר נדרש שינוי עקרוני בהערכ</w:t>
      </w:r>
      <w:r w:rsidRPr="009F52BA">
        <w:rPr>
          <w:rFonts w:ascii="David" w:hAnsi="David" w:cs="David" w:hint="cs"/>
          <w:b/>
          <w:bCs/>
          <w:color w:val="000000"/>
          <w:sz w:val="24"/>
          <w:szCs w:val="24"/>
          <w:rtl/>
        </w:rPr>
        <w:t>ה"</w:t>
      </w:r>
      <w:r w:rsidRPr="009F52BA">
        <w:rPr>
          <w:rFonts w:ascii="David" w:hAnsi="David" w:cs="David" w:hint="cs"/>
          <w:color w:val="000000"/>
          <w:sz w:val="24"/>
          <w:szCs w:val="24"/>
          <w:rtl/>
        </w:rPr>
        <w:t xml:space="preserve"> </w:t>
      </w:r>
      <w:r w:rsidRPr="009F52BA">
        <w:rPr>
          <w:rFonts w:ascii="David" w:hAnsi="David" w:cs="David" w:hint="cs"/>
          <w:sz w:val="24"/>
          <w:szCs w:val="24"/>
          <w:rtl/>
        </w:rPr>
        <w:t xml:space="preserve">(עיינו </w:t>
      </w:r>
      <w:r w:rsidRPr="009F52BA">
        <w:rPr>
          <w:rFonts w:ascii="David" w:hAnsi="David" w:cs="David"/>
          <w:sz w:val="24"/>
          <w:szCs w:val="24"/>
          <w:rtl/>
        </w:rPr>
        <w:t>ע"א 1952/11 </w:t>
      </w:r>
      <w:r w:rsidRPr="009F52BA">
        <w:rPr>
          <w:rFonts w:ascii="David" w:hAnsi="David" w:cs="David"/>
          <w:b/>
          <w:bCs/>
          <w:sz w:val="24"/>
          <w:szCs w:val="24"/>
          <w:rtl/>
        </w:rPr>
        <w:t>חאלד אבו אלהווא נ' עיריית ירושלים</w:t>
      </w:r>
      <w:r w:rsidRPr="009F52BA">
        <w:rPr>
          <w:rFonts w:ascii="David" w:hAnsi="David" w:cs="David"/>
          <w:sz w:val="24"/>
          <w:szCs w:val="24"/>
          <w:rtl/>
        </w:rPr>
        <w:t> (נבו 6.11.2012)‏</w:t>
      </w:r>
      <w:r w:rsidRPr="009F52BA">
        <w:rPr>
          <w:rFonts w:ascii="David" w:hAnsi="David" w:cs="David" w:hint="cs"/>
          <w:sz w:val="24"/>
          <w:szCs w:val="24"/>
          <w:rtl/>
        </w:rPr>
        <w:t>). אני בדעה כי אשמתם של שני ההורים, עת הדבר נבחן בשנת 2024, כעשר שנים לאחר אותו אירוע מכונן, אינה אמורה להיות באחריות כמעט זהה על דרך של 60%-</w:t>
      </w:r>
      <w:r w:rsidRPr="009F52BA">
        <w:rPr>
          <w:rFonts w:ascii="David" w:hAnsi="David" w:cs="David" w:hint="cs"/>
          <w:sz w:val="24"/>
          <w:szCs w:val="24"/>
          <w:rtl/>
        </w:rPr>
        <w:lastRenderedPageBreak/>
        <w:t xml:space="preserve">40%, אלא </w:t>
      </w:r>
      <w:r>
        <w:rPr>
          <w:rFonts w:ascii="David" w:hAnsi="David" w:cs="David" w:hint="cs"/>
          <w:sz w:val="24"/>
          <w:szCs w:val="24"/>
          <w:rtl/>
        </w:rPr>
        <w:t xml:space="preserve">כי </w:t>
      </w:r>
      <w:r w:rsidRPr="009F52BA">
        <w:rPr>
          <w:rFonts w:ascii="David" w:hAnsi="David" w:cs="David" w:hint="cs"/>
          <w:sz w:val="24"/>
          <w:szCs w:val="24"/>
          <w:rtl/>
        </w:rPr>
        <w:t>יש להעמיד את האחריות והאשם התורם באופן מובהק לחובת האב, כפי שעשה זאת בית משפט קמא, היינו 75% לחובתו.</w:t>
      </w:r>
    </w:p>
    <w:p w:rsidR="009A3EDE" w:rsidRPr="004511A7" w:rsidRDefault="009A3EDE" w:rsidP="009A3EDE">
      <w:pPr>
        <w:pStyle w:val="ad"/>
        <w:spacing w:line="360" w:lineRule="auto"/>
        <w:ind w:left="226"/>
        <w:jc w:val="both"/>
        <w:rPr>
          <w:rFonts w:ascii="David" w:hAnsi="David" w:cs="David"/>
          <w:sz w:val="24"/>
          <w:szCs w:val="24"/>
        </w:rPr>
      </w:pPr>
    </w:p>
    <w:p w:rsidR="009A3EDE" w:rsidRDefault="009A3EDE" w:rsidP="004877EC">
      <w:pPr>
        <w:pStyle w:val="ad"/>
        <w:numPr>
          <w:ilvl w:val="0"/>
          <w:numId w:val="3"/>
        </w:numPr>
        <w:spacing w:line="360" w:lineRule="auto"/>
        <w:ind w:left="226"/>
        <w:jc w:val="both"/>
        <w:rPr>
          <w:rFonts w:ascii="David" w:hAnsi="David" w:cs="David"/>
          <w:sz w:val="24"/>
          <w:szCs w:val="24"/>
        </w:rPr>
      </w:pPr>
      <w:r w:rsidRPr="004511A7">
        <w:rPr>
          <w:rFonts w:ascii="David" w:hAnsi="David" w:cs="David" w:hint="cs"/>
          <w:sz w:val="24"/>
          <w:szCs w:val="24"/>
          <w:rtl/>
        </w:rPr>
        <w:t>אחדד דבריי. מרבית הפעולות והאירועים בגינן הוטל על ה</w:t>
      </w:r>
      <w:r>
        <w:rPr>
          <w:rFonts w:ascii="David" w:hAnsi="David" w:cs="David" w:hint="cs"/>
          <w:sz w:val="24"/>
          <w:szCs w:val="24"/>
          <w:rtl/>
        </w:rPr>
        <w:t xml:space="preserve">אם </w:t>
      </w:r>
      <w:r w:rsidRPr="004511A7">
        <w:rPr>
          <w:rFonts w:ascii="David" w:hAnsi="David" w:cs="David" w:hint="cs"/>
          <w:sz w:val="24"/>
          <w:szCs w:val="24"/>
          <w:rtl/>
        </w:rPr>
        <w:t>אשם תורם הינן פעולות ואירועים שהיו קרובים יותר לשנת האירוע המכונן (2014), שהאחרון בהם מיוחס לשנת 2017. ככל וחולפות השנים, כך סערת הרגשות אמורה הייתה להירגע ולשכוך</w:t>
      </w:r>
      <w:r>
        <w:rPr>
          <w:rFonts w:ascii="David" w:hAnsi="David" w:cs="David" w:hint="cs"/>
          <w:sz w:val="24"/>
          <w:szCs w:val="24"/>
          <w:rtl/>
        </w:rPr>
        <w:t>.</w:t>
      </w:r>
      <w:r w:rsidRPr="004511A7">
        <w:rPr>
          <w:rFonts w:ascii="David" w:hAnsi="David" w:cs="David" w:hint="cs"/>
          <w:sz w:val="24"/>
          <w:szCs w:val="24"/>
          <w:rtl/>
        </w:rPr>
        <w:t xml:space="preserve"> מתפקידו וחובתו של ה</w:t>
      </w:r>
      <w:r>
        <w:rPr>
          <w:rFonts w:ascii="David" w:hAnsi="David" w:cs="David" w:hint="cs"/>
          <w:sz w:val="24"/>
          <w:szCs w:val="24"/>
          <w:rtl/>
        </w:rPr>
        <w:t>אב</w:t>
      </w:r>
      <w:r w:rsidRPr="004511A7">
        <w:rPr>
          <w:rFonts w:ascii="David" w:hAnsi="David" w:cs="David" w:hint="cs"/>
          <w:sz w:val="24"/>
          <w:szCs w:val="24"/>
          <w:rtl/>
        </w:rPr>
        <w:t xml:space="preserve">, אשר הינו היחיד מבין ההורים שהיה בקשר עם הקטין, היה לפעול להרגעת המצב, להרגעת סערת נפשו של הקטין ולקדם באופן אקטיבי קשר בינו לבין </w:t>
      </w:r>
      <w:r>
        <w:rPr>
          <w:rFonts w:ascii="David" w:hAnsi="David" w:cs="David" w:hint="cs"/>
          <w:sz w:val="24"/>
          <w:szCs w:val="24"/>
          <w:rtl/>
        </w:rPr>
        <w:t>האם</w:t>
      </w:r>
      <w:r w:rsidRPr="004511A7">
        <w:rPr>
          <w:rFonts w:ascii="David" w:hAnsi="David" w:cs="David" w:hint="cs"/>
          <w:sz w:val="24"/>
          <w:szCs w:val="24"/>
          <w:rtl/>
        </w:rPr>
        <w:t xml:space="preserve">, ולו אף לטובת הקטין עצמו. </w:t>
      </w:r>
      <w:r>
        <w:rPr>
          <w:rFonts w:ascii="David" w:hAnsi="David" w:cs="David" w:hint="cs"/>
          <w:sz w:val="24"/>
          <w:szCs w:val="24"/>
          <w:rtl/>
        </w:rPr>
        <w:t>האב לא עשה זאת סמוך לאירוע ואף לא שנים לאחר מכן. אפנה לסעיף 40 לפסק הדין קמא, שם נכתב כי "...</w:t>
      </w:r>
      <w:r w:rsidRPr="00C86793">
        <w:rPr>
          <w:rFonts w:ascii="David" w:hAnsi="David" w:cs="David"/>
          <w:sz w:val="24"/>
          <w:szCs w:val="24"/>
          <w:rtl/>
        </w:rPr>
        <w:t xml:space="preserve">בתסקיר שצרפה, מיום 15.11.2016, ציינה העו"ס, כי האב אינו רואה מקום לאם בחייו של </w:t>
      </w:r>
      <w:r w:rsidR="004877EC">
        <w:rPr>
          <w:rFonts w:ascii="David" w:hAnsi="David" w:cs="David" w:hint="cs"/>
          <w:sz w:val="24"/>
          <w:szCs w:val="24"/>
          <w:rtl/>
        </w:rPr>
        <w:t>מ'</w:t>
      </w:r>
      <w:r w:rsidRPr="00C86793">
        <w:rPr>
          <w:rFonts w:ascii="David" w:hAnsi="David" w:cs="David"/>
          <w:sz w:val="24"/>
          <w:szCs w:val="24"/>
          <w:rtl/>
        </w:rPr>
        <w:t>,  וכי: "</w:t>
      </w:r>
      <w:r>
        <w:rPr>
          <w:rFonts w:ascii="David" w:hAnsi="David" w:cs="David" w:hint="cs"/>
          <w:b/>
          <w:bCs/>
          <w:sz w:val="24"/>
          <w:szCs w:val="24"/>
          <w:u w:val="single"/>
          <w:rtl/>
        </w:rPr>
        <w:t>...</w:t>
      </w:r>
      <w:r w:rsidR="004877EC">
        <w:rPr>
          <w:rFonts w:ascii="David" w:hAnsi="David" w:cs="David" w:hint="cs"/>
          <w:b/>
          <w:bCs/>
          <w:sz w:val="24"/>
          <w:szCs w:val="24"/>
          <w:u w:val="single"/>
          <w:rtl/>
        </w:rPr>
        <w:t xml:space="preserve"> </w:t>
      </w:r>
      <w:r w:rsidRPr="00C86793">
        <w:rPr>
          <w:rFonts w:ascii="David" w:hAnsi="David" w:cs="David"/>
          <w:b/>
          <w:bCs/>
          <w:sz w:val="24"/>
          <w:szCs w:val="24"/>
          <w:u w:val="single"/>
          <w:rtl/>
        </w:rPr>
        <w:t xml:space="preserve">התנגדותו, הגלויה והסמויה של האב בין האם </w:t>
      </w:r>
      <w:r w:rsidR="004877EC">
        <w:rPr>
          <w:rFonts w:ascii="David" w:hAnsi="David" w:cs="David" w:hint="cs"/>
          <w:b/>
          <w:bCs/>
          <w:sz w:val="24"/>
          <w:szCs w:val="24"/>
          <w:u w:val="single"/>
          <w:rtl/>
        </w:rPr>
        <w:t>ל-מ'</w:t>
      </w:r>
      <w:r w:rsidRPr="00C86793">
        <w:rPr>
          <w:rFonts w:ascii="David" w:hAnsi="David" w:cs="David"/>
          <w:b/>
          <w:bCs/>
          <w:sz w:val="24"/>
          <w:szCs w:val="24"/>
          <w:u w:val="single"/>
          <w:rtl/>
        </w:rPr>
        <w:t xml:space="preserve">, משפיעה על </w:t>
      </w:r>
      <w:r w:rsidR="004877EC">
        <w:rPr>
          <w:rFonts w:ascii="David" w:hAnsi="David" w:cs="David" w:hint="cs"/>
          <w:b/>
          <w:bCs/>
          <w:sz w:val="24"/>
          <w:szCs w:val="24"/>
          <w:u w:val="single"/>
          <w:rtl/>
        </w:rPr>
        <w:t>מ'</w:t>
      </w:r>
      <w:r w:rsidRPr="00C86793">
        <w:rPr>
          <w:rFonts w:ascii="David" w:hAnsi="David" w:cs="David"/>
          <w:b/>
          <w:bCs/>
          <w:sz w:val="24"/>
          <w:szCs w:val="24"/>
          <w:u w:val="single"/>
          <w:rtl/>
        </w:rPr>
        <w:t xml:space="preserve">, אשר ממשיך לעמוד בסירובו לפגוש באימו.  להערכתי, האב "מטפח" את סרבנותו של הקטין ואינו מבין את הפגיעה הרגשית הקשה בנפשו של </w:t>
      </w:r>
      <w:r w:rsidR="00820F03">
        <w:rPr>
          <w:rFonts w:ascii="David" w:hAnsi="David" w:cs="David"/>
          <w:b/>
          <w:bCs/>
          <w:sz w:val="24"/>
          <w:szCs w:val="24"/>
          <w:u w:val="single"/>
          <w:rtl/>
        </w:rPr>
        <w:t xml:space="preserve">מ' </w:t>
      </w:r>
      <w:r w:rsidRPr="00C86793">
        <w:rPr>
          <w:rFonts w:ascii="David" w:hAnsi="David" w:cs="David"/>
          <w:b/>
          <w:bCs/>
          <w:sz w:val="24"/>
          <w:szCs w:val="24"/>
          <w:u w:val="single"/>
          <w:rtl/>
        </w:rPr>
        <w:t>ואת הסיכון בו הוא נמצא. האב אינו מקיים את מחויבותו ההורית הבסיסית הכוללת שמירת ועידוד קשר עם ההורה השני</w:t>
      </w:r>
      <w:r>
        <w:rPr>
          <w:rFonts w:ascii="David" w:hAnsi="David" w:cs="David" w:hint="cs"/>
          <w:b/>
          <w:bCs/>
          <w:sz w:val="24"/>
          <w:szCs w:val="24"/>
          <w:u w:val="single"/>
          <w:rtl/>
        </w:rPr>
        <w:t>..</w:t>
      </w:r>
      <w:r w:rsidRPr="00C86793">
        <w:rPr>
          <w:rFonts w:ascii="David" w:hAnsi="David" w:cs="David"/>
          <w:b/>
          <w:bCs/>
          <w:sz w:val="24"/>
          <w:szCs w:val="24"/>
          <w:u w:val="single"/>
          <w:rtl/>
        </w:rPr>
        <w:t>.</w:t>
      </w:r>
      <w:r w:rsidRPr="00C86793">
        <w:rPr>
          <w:rFonts w:ascii="David" w:hAnsi="David" w:cs="David"/>
          <w:sz w:val="24"/>
          <w:szCs w:val="24"/>
          <w:rtl/>
        </w:rPr>
        <w:t xml:space="preserve">" </w:t>
      </w:r>
      <w:r>
        <w:rPr>
          <w:rFonts w:ascii="David" w:hAnsi="David" w:cs="David" w:hint="cs"/>
          <w:sz w:val="24"/>
          <w:szCs w:val="24"/>
          <w:rtl/>
        </w:rPr>
        <w:t xml:space="preserve">(ההדגשות במקור </w:t>
      </w:r>
      <w:r>
        <w:rPr>
          <w:rFonts w:ascii="David" w:hAnsi="David" w:cs="David"/>
          <w:sz w:val="24"/>
          <w:szCs w:val="24"/>
          <w:rtl/>
        </w:rPr>
        <w:t>–</w:t>
      </w:r>
      <w:r>
        <w:rPr>
          <w:rFonts w:ascii="David" w:hAnsi="David" w:cs="David" w:hint="cs"/>
          <w:sz w:val="24"/>
          <w:szCs w:val="24"/>
          <w:rtl/>
        </w:rPr>
        <w:t xml:space="preserve"> א"א).</w:t>
      </w:r>
    </w:p>
    <w:p w:rsidR="009A3EDE" w:rsidRPr="004511A7" w:rsidRDefault="009A3EDE" w:rsidP="009A3EDE">
      <w:pPr>
        <w:pStyle w:val="ad"/>
        <w:spacing w:line="360" w:lineRule="auto"/>
        <w:ind w:left="226"/>
        <w:jc w:val="both"/>
        <w:rPr>
          <w:rFonts w:ascii="David" w:hAnsi="David" w:cs="David"/>
          <w:sz w:val="24"/>
          <w:szCs w:val="24"/>
        </w:rPr>
      </w:pPr>
    </w:p>
    <w:p w:rsidR="009A3EDE" w:rsidRPr="004511A7" w:rsidRDefault="009A3EDE" w:rsidP="009A3EDE">
      <w:pPr>
        <w:pStyle w:val="ad"/>
        <w:numPr>
          <w:ilvl w:val="0"/>
          <w:numId w:val="3"/>
        </w:numPr>
        <w:spacing w:line="360" w:lineRule="auto"/>
        <w:ind w:left="226"/>
        <w:jc w:val="both"/>
        <w:rPr>
          <w:rFonts w:ascii="David" w:hAnsi="David" w:cs="David"/>
          <w:sz w:val="24"/>
          <w:szCs w:val="24"/>
          <w:rtl/>
        </w:rPr>
      </w:pPr>
      <w:r w:rsidRPr="004511A7">
        <w:rPr>
          <w:rFonts w:ascii="David" w:hAnsi="David" w:cs="David" w:hint="cs"/>
          <w:sz w:val="24"/>
          <w:szCs w:val="24"/>
          <w:rtl/>
        </w:rPr>
        <w:t>לא די בכך, אלא שמבחינה מהותית, הנזק שהתרחש ל</w:t>
      </w:r>
      <w:r>
        <w:rPr>
          <w:rFonts w:ascii="David" w:hAnsi="David" w:cs="David" w:hint="cs"/>
          <w:sz w:val="24"/>
          <w:szCs w:val="24"/>
          <w:rtl/>
        </w:rPr>
        <w:t xml:space="preserve">אם </w:t>
      </w:r>
      <w:r w:rsidRPr="004511A7">
        <w:rPr>
          <w:rFonts w:ascii="David" w:hAnsi="David" w:cs="David" w:hint="cs"/>
          <w:sz w:val="24"/>
          <w:szCs w:val="24"/>
          <w:rtl/>
        </w:rPr>
        <w:t>(ולקטין עצמו), הינו למעשה נזק מתמשך, המשתכלל וימשיך להשתכלל כל יום ביומו, עד לאחרית הימים</w:t>
      </w:r>
      <w:r>
        <w:rPr>
          <w:rFonts w:ascii="David" w:hAnsi="David" w:cs="David" w:hint="cs"/>
          <w:sz w:val="24"/>
          <w:szCs w:val="24"/>
          <w:rtl/>
        </w:rPr>
        <w:t xml:space="preserve">, ככל </w:t>
      </w:r>
      <w:r w:rsidRPr="004511A7">
        <w:rPr>
          <w:rFonts w:ascii="David" w:hAnsi="David" w:cs="David" w:hint="cs"/>
          <w:sz w:val="24"/>
          <w:szCs w:val="24"/>
          <w:rtl/>
        </w:rPr>
        <w:t xml:space="preserve"> </w:t>
      </w:r>
      <w:r>
        <w:rPr>
          <w:rFonts w:ascii="David" w:hAnsi="David" w:cs="David" w:hint="cs"/>
          <w:sz w:val="24"/>
          <w:szCs w:val="24"/>
          <w:rtl/>
        </w:rPr>
        <w:t xml:space="preserve">ולא </w:t>
      </w:r>
      <w:r w:rsidRPr="004511A7">
        <w:rPr>
          <w:rFonts w:ascii="David" w:hAnsi="David" w:cs="David" w:hint="cs"/>
          <w:sz w:val="24"/>
          <w:szCs w:val="24"/>
          <w:rtl/>
        </w:rPr>
        <w:t xml:space="preserve">יירקם קשר בין </w:t>
      </w:r>
      <w:r>
        <w:rPr>
          <w:rFonts w:ascii="David" w:hAnsi="David" w:cs="David" w:hint="cs"/>
          <w:sz w:val="24"/>
          <w:szCs w:val="24"/>
          <w:rtl/>
        </w:rPr>
        <w:t xml:space="preserve">האם </w:t>
      </w:r>
      <w:r w:rsidRPr="004511A7">
        <w:rPr>
          <w:rFonts w:ascii="David" w:hAnsi="David" w:cs="David" w:hint="cs"/>
          <w:sz w:val="24"/>
          <w:szCs w:val="24"/>
          <w:rtl/>
        </w:rPr>
        <w:t>ל</w:t>
      </w:r>
      <w:r>
        <w:rPr>
          <w:rFonts w:ascii="David" w:hAnsi="David" w:cs="David" w:hint="cs"/>
          <w:sz w:val="24"/>
          <w:szCs w:val="24"/>
          <w:rtl/>
        </w:rPr>
        <w:t>בין הקטין</w:t>
      </w:r>
      <w:r w:rsidRPr="004511A7">
        <w:rPr>
          <w:rFonts w:ascii="David" w:hAnsi="David" w:cs="David" w:hint="cs"/>
          <w:sz w:val="24"/>
          <w:szCs w:val="24"/>
          <w:rtl/>
        </w:rPr>
        <w:t>. אין עסקינן רק בנזק שהתגבש בשנת 2014 ועד היום, אלא עודנו מתגבש יום ביומו מבחינת ה</w:t>
      </w:r>
      <w:r>
        <w:rPr>
          <w:rFonts w:ascii="David" w:hAnsi="David" w:cs="David" w:hint="cs"/>
          <w:sz w:val="24"/>
          <w:szCs w:val="24"/>
          <w:rtl/>
        </w:rPr>
        <w:t>אם</w:t>
      </w:r>
      <w:r w:rsidRPr="004511A7">
        <w:rPr>
          <w:rFonts w:ascii="David" w:hAnsi="David" w:cs="David" w:hint="cs"/>
          <w:sz w:val="24"/>
          <w:szCs w:val="24"/>
          <w:rtl/>
        </w:rPr>
        <w:t>, נזק שעתיד להתגבש ולהתקיים גם בעתיד, נזק שיכול ויש ל</w:t>
      </w:r>
      <w:r>
        <w:rPr>
          <w:rFonts w:ascii="David" w:hAnsi="David" w:cs="David" w:hint="cs"/>
          <w:sz w:val="24"/>
          <w:szCs w:val="24"/>
          <w:rtl/>
        </w:rPr>
        <w:t xml:space="preserve">אב </w:t>
      </w:r>
      <w:r w:rsidRPr="004511A7">
        <w:rPr>
          <w:rFonts w:ascii="David" w:hAnsi="David" w:cs="David" w:hint="cs"/>
          <w:sz w:val="24"/>
          <w:szCs w:val="24"/>
          <w:rtl/>
        </w:rPr>
        <w:t xml:space="preserve">היכולת, על אף היות הקטין בגיר, לשכנעו לפעול אחרת וזאת כדי לאחות את השבר, דבר ראוי מבחינה מוסרית ונכון מבחינת ניסיון החיים והעבר, גם לקטין. </w:t>
      </w:r>
    </w:p>
    <w:p w:rsidR="009A3EDE" w:rsidRPr="004511A7" w:rsidRDefault="009A3EDE" w:rsidP="009A3EDE">
      <w:pPr>
        <w:pStyle w:val="ad"/>
        <w:spacing w:line="360" w:lineRule="auto"/>
        <w:ind w:left="226"/>
        <w:jc w:val="both"/>
        <w:rPr>
          <w:rFonts w:ascii="David" w:hAnsi="David" w:cs="David"/>
          <w:b/>
          <w:bCs/>
        </w:rPr>
      </w:pPr>
    </w:p>
    <w:p w:rsidR="009A3EDE" w:rsidRPr="004511A7" w:rsidRDefault="009A3EDE" w:rsidP="009A3EDE">
      <w:pPr>
        <w:pStyle w:val="ad"/>
        <w:numPr>
          <w:ilvl w:val="0"/>
          <w:numId w:val="3"/>
        </w:numPr>
        <w:spacing w:line="360" w:lineRule="auto"/>
        <w:ind w:left="226"/>
        <w:jc w:val="both"/>
        <w:rPr>
          <w:rFonts w:ascii="David" w:hAnsi="David" w:cs="David"/>
          <w:sz w:val="24"/>
          <w:szCs w:val="24"/>
        </w:rPr>
      </w:pPr>
      <w:r w:rsidRPr="004511A7">
        <w:rPr>
          <w:rFonts w:ascii="David" w:hAnsi="David" w:cs="David" w:hint="cs"/>
          <w:sz w:val="24"/>
          <w:szCs w:val="24"/>
          <w:rtl/>
        </w:rPr>
        <w:t>באשר לגובה הפיצוי עצמו בגין ה</w:t>
      </w:r>
      <w:r>
        <w:rPr>
          <w:rFonts w:ascii="David" w:hAnsi="David" w:cs="David" w:hint="cs"/>
          <w:sz w:val="24"/>
          <w:szCs w:val="24"/>
          <w:rtl/>
        </w:rPr>
        <w:t xml:space="preserve">נזק. </w:t>
      </w:r>
      <w:r w:rsidRPr="004511A7">
        <w:rPr>
          <w:rFonts w:ascii="David" w:hAnsi="David" w:cs="David" w:hint="cs"/>
          <w:color w:val="000000"/>
          <w:sz w:val="24"/>
          <w:szCs w:val="24"/>
          <w:rtl/>
        </w:rPr>
        <w:t xml:space="preserve"> </w:t>
      </w:r>
      <w:r w:rsidRPr="004511A7">
        <w:rPr>
          <w:rFonts w:ascii="David" w:hAnsi="David" w:cs="David"/>
          <w:b/>
          <w:bCs/>
          <w:color w:val="000000"/>
          <w:sz w:val="24"/>
          <w:szCs w:val="24"/>
          <w:rtl/>
        </w:rPr>
        <w:t>"לא מצאתי שום דרך תחשיב המתקבלת על הדעת, לפיה, שם האב תביעתו בסך 375,000</w:t>
      </w:r>
      <w:r w:rsidRPr="004511A7">
        <w:rPr>
          <w:rFonts w:ascii="David" w:hAnsi="David" w:cs="David" w:hint="cs"/>
          <w:b/>
          <w:bCs/>
          <w:color w:val="000000"/>
          <w:sz w:val="24"/>
          <w:szCs w:val="24"/>
          <w:rtl/>
        </w:rPr>
        <w:t xml:space="preserve"> ₪, </w:t>
      </w:r>
      <w:r w:rsidRPr="004511A7">
        <w:rPr>
          <w:rFonts w:ascii="David" w:hAnsi="David" w:cs="David"/>
          <w:b/>
          <w:bCs/>
          <w:color w:val="000000"/>
          <w:sz w:val="24"/>
          <w:szCs w:val="24"/>
          <w:rtl/>
        </w:rPr>
        <w:t>יחד עם זאת, ברור כי הפיצוי הנפסק אינו צריך להיות נמוך מזה האפשרי על פי חוק איסור לשון הרע למשל, אך לאו דווקא בסך המקסימאלי</w:t>
      </w:r>
      <w:r w:rsidRPr="004511A7">
        <w:rPr>
          <w:rFonts w:ascii="David" w:hAnsi="David" w:cs="David"/>
          <w:color w:val="000000"/>
          <w:sz w:val="24"/>
          <w:szCs w:val="24"/>
          <w:rtl/>
        </w:rPr>
        <w:t>"</w:t>
      </w:r>
      <w:r w:rsidRPr="004511A7">
        <w:rPr>
          <w:rFonts w:ascii="David" w:hAnsi="David" w:cs="David" w:hint="cs"/>
          <w:color w:val="000000"/>
          <w:sz w:val="24"/>
          <w:szCs w:val="24"/>
          <w:rtl/>
        </w:rPr>
        <w:t xml:space="preserve"> </w:t>
      </w:r>
      <w:r w:rsidRPr="004511A7">
        <w:rPr>
          <w:rFonts w:ascii="David" w:hAnsi="David" w:cs="David"/>
          <w:sz w:val="24"/>
          <w:szCs w:val="24"/>
          <w:rtl/>
        </w:rPr>
        <w:t>(תלה"מ (משפחה תל אביב-יפו) 1101-04-23 </w:t>
      </w:r>
      <w:r w:rsidRPr="004511A7">
        <w:rPr>
          <w:rFonts w:ascii="David" w:hAnsi="David" w:cs="David"/>
          <w:b/>
          <w:bCs/>
          <w:sz w:val="24"/>
          <w:szCs w:val="24"/>
          <w:rtl/>
        </w:rPr>
        <w:t>א.ג נ' ל. כ</w:t>
      </w:r>
      <w:r w:rsidRPr="004511A7">
        <w:rPr>
          <w:rFonts w:ascii="David" w:hAnsi="David" w:cs="David"/>
          <w:sz w:val="24"/>
          <w:szCs w:val="24"/>
          <w:rtl/>
        </w:rPr>
        <w:t> (נבו 10.9.2024)‏</w:t>
      </w:r>
      <w:r w:rsidRPr="004511A7">
        <w:rPr>
          <w:rFonts w:ascii="David" w:hAnsi="David" w:cs="David"/>
          <w:color w:val="000000"/>
          <w:sz w:val="24"/>
          <w:szCs w:val="24"/>
          <w:rtl/>
        </w:rPr>
        <w:t>‏)</w:t>
      </w:r>
      <w:r w:rsidRPr="004511A7">
        <w:rPr>
          <w:rFonts w:ascii="David" w:hAnsi="David" w:cs="David" w:hint="cs"/>
          <w:color w:val="000000"/>
          <w:sz w:val="24"/>
          <w:szCs w:val="24"/>
          <w:rtl/>
        </w:rPr>
        <w:t xml:space="preserve">. סכום פיצוי זה יש בו כדי לבטא הן את הכאב וסבל של הורה אשר ילדו מורחק ממנו על דרך של ניכור הורי, משך </w:t>
      </w:r>
      <w:r>
        <w:rPr>
          <w:rFonts w:ascii="David" w:hAnsi="David" w:cs="David" w:hint="cs"/>
          <w:color w:val="000000"/>
          <w:sz w:val="24"/>
          <w:szCs w:val="24"/>
          <w:rtl/>
        </w:rPr>
        <w:t>10 שנים</w:t>
      </w:r>
      <w:r w:rsidRPr="004511A7">
        <w:rPr>
          <w:rFonts w:ascii="David" w:hAnsi="David" w:cs="David" w:hint="cs"/>
          <w:color w:val="000000"/>
          <w:sz w:val="24"/>
          <w:szCs w:val="24"/>
          <w:rtl/>
        </w:rPr>
        <w:t xml:space="preserve">, והן את מורת הרוח והסלידה של הערכאות השיפוטיות ממעשים המובילים למצב כגון זה. לדעתי העוולה בה עסקינן הינה חמורה, או לכל הפחות משתווה לחומרתה של עוולת לשון הרע. ומכאן: </w:t>
      </w:r>
      <w:r w:rsidRPr="004511A7">
        <w:rPr>
          <w:rFonts w:ascii="David" w:hAnsi="David" w:cs="David"/>
          <w:b/>
          <w:bCs/>
          <w:color w:val="000000"/>
          <w:sz w:val="24"/>
          <w:szCs w:val="24"/>
          <w:rtl/>
        </w:rPr>
        <w:t>"יידע כל הורה מנכר, כי לא ניתן להשתמש בנשק של הסתה וניכור הורי. כשם שהגט לא יכול לשמש כלי ואמצעי להשגת הישגים רכושיים או אחרים במסגרת מאבק גירושין, כך לא יכול הורה, לרתום את ילדיו ולהשתמש בהם ככלי לניגוח הצד השני או כאמצעי למימוש נקמה ו"ענישה". הורים צריכים לדעת, כי הם ישלמו מחיר כבד אם יתברר שהם בזדון, הסיתו את הקטין כנגד ההורה השנ</w:t>
      </w:r>
      <w:r w:rsidRPr="004511A7">
        <w:rPr>
          <w:rFonts w:ascii="David" w:hAnsi="David" w:cs="David" w:hint="cs"/>
          <w:b/>
          <w:bCs/>
          <w:color w:val="000000"/>
          <w:sz w:val="24"/>
          <w:szCs w:val="24"/>
          <w:rtl/>
        </w:rPr>
        <w:t xml:space="preserve">י" </w:t>
      </w:r>
      <w:r w:rsidRPr="004511A7">
        <w:rPr>
          <w:rFonts w:ascii="David" w:hAnsi="David" w:cs="David" w:hint="cs"/>
          <w:sz w:val="24"/>
          <w:szCs w:val="24"/>
          <w:rtl/>
        </w:rPr>
        <w:t>(עמ</w:t>
      </w:r>
      <w:r w:rsidRPr="004511A7">
        <w:rPr>
          <w:rFonts w:ascii="David" w:hAnsi="David" w:cs="David"/>
          <w:sz w:val="24"/>
          <w:szCs w:val="24"/>
          <w:rtl/>
        </w:rPr>
        <w:t>"ש (מחוזי תל אביב-יפו) 8965-10-20 </w:t>
      </w:r>
      <w:r w:rsidRPr="004511A7">
        <w:rPr>
          <w:rFonts w:ascii="David" w:hAnsi="David" w:cs="David"/>
          <w:b/>
          <w:bCs/>
          <w:sz w:val="24"/>
          <w:szCs w:val="24"/>
          <w:rtl/>
        </w:rPr>
        <w:t>פלונית נ' פלוני</w:t>
      </w:r>
      <w:r w:rsidRPr="004511A7">
        <w:rPr>
          <w:rFonts w:ascii="David" w:hAnsi="David" w:cs="David"/>
          <w:sz w:val="24"/>
          <w:szCs w:val="24"/>
          <w:rtl/>
        </w:rPr>
        <w:t> (נבו 20.1.2021)‏</w:t>
      </w:r>
      <w:r w:rsidRPr="004511A7">
        <w:rPr>
          <w:rFonts w:ascii="David" w:hAnsi="David" w:cs="David"/>
          <w:color w:val="000000"/>
          <w:sz w:val="24"/>
          <w:szCs w:val="24"/>
          <w:rtl/>
        </w:rPr>
        <w:t xml:space="preserve">‏). </w:t>
      </w:r>
      <w:r w:rsidRPr="004511A7">
        <w:rPr>
          <w:rFonts w:ascii="David" w:hAnsi="David" w:cs="David" w:hint="cs"/>
          <w:color w:val="000000"/>
          <w:sz w:val="24"/>
          <w:szCs w:val="24"/>
          <w:rtl/>
        </w:rPr>
        <w:t>ביני לביני</w:t>
      </w:r>
      <w:r>
        <w:rPr>
          <w:rFonts w:ascii="David" w:hAnsi="David" w:cs="David" w:hint="cs"/>
          <w:color w:val="000000"/>
          <w:sz w:val="24"/>
          <w:szCs w:val="24"/>
          <w:rtl/>
        </w:rPr>
        <w:t>,</w:t>
      </w:r>
      <w:r w:rsidRPr="004511A7">
        <w:rPr>
          <w:rFonts w:ascii="David" w:hAnsi="David" w:cs="David" w:hint="cs"/>
          <w:color w:val="000000"/>
          <w:sz w:val="24"/>
          <w:szCs w:val="24"/>
          <w:rtl/>
        </w:rPr>
        <w:t xml:space="preserve"> אני סבורה כי ניכור הורי הינו פועל יוצא גם של עוולת לשון הרע, אך על כך לא ארחיב בפסק דיני דנן.</w:t>
      </w:r>
    </w:p>
    <w:p w:rsidR="009A3EDE" w:rsidRPr="004511A7" w:rsidRDefault="009A3EDE" w:rsidP="009A3EDE">
      <w:pPr>
        <w:pStyle w:val="ad"/>
        <w:spacing w:line="360" w:lineRule="auto"/>
        <w:ind w:left="226"/>
        <w:jc w:val="both"/>
        <w:rPr>
          <w:rFonts w:ascii="David" w:hAnsi="David" w:cs="David"/>
          <w:sz w:val="24"/>
          <w:szCs w:val="24"/>
        </w:rPr>
      </w:pPr>
    </w:p>
    <w:p w:rsidR="009A3EDE" w:rsidRDefault="009A3EDE" w:rsidP="009A3EDE">
      <w:pPr>
        <w:pStyle w:val="ad"/>
        <w:numPr>
          <w:ilvl w:val="0"/>
          <w:numId w:val="3"/>
        </w:numPr>
        <w:spacing w:line="360" w:lineRule="auto"/>
        <w:ind w:left="226"/>
        <w:jc w:val="both"/>
        <w:rPr>
          <w:rFonts w:ascii="David" w:hAnsi="David" w:cs="David"/>
          <w:sz w:val="24"/>
          <w:szCs w:val="24"/>
        </w:rPr>
      </w:pPr>
      <w:r w:rsidRPr="00C86793">
        <w:rPr>
          <w:rFonts w:ascii="David" w:hAnsi="David" w:cs="David" w:hint="cs"/>
          <w:color w:val="000000"/>
          <w:sz w:val="24"/>
          <w:szCs w:val="24"/>
          <w:rtl/>
        </w:rPr>
        <w:t>לאחר שקלול כלל הנתונים, אינני סבורה כי סכום הפיצוי שנדרש האב לשלם לאם</w:t>
      </w:r>
      <w:r>
        <w:rPr>
          <w:rFonts w:ascii="David" w:hAnsi="David" w:cs="David" w:hint="cs"/>
          <w:color w:val="000000"/>
          <w:sz w:val="24"/>
          <w:szCs w:val="24"/>
          <w:rtl/>
        </w:rPr>
        <w:t xml:space="preserve">, לאחר מרכיב האשם התורם, </w:t>
      </w:r>
      <w:r w:rsidRPr="00C86793">
        <w:rPr>
          <w:rFonts w:ascii="David" w:hAnsi="David" w:cs="David" w:hint="cs"/>
          <w:color w:val="000000"/>
          <w:sz w:val="24"/>
          <w:szCs w:val="24"/>
          <w:rtl/>
        </w:rPr>
        <w:t>שהועמד על סך של 165,000 ₪, הינו מוגזם או בלתי סביר, המחייב התערבותנו. וכפי שנכתב גם בפסק הדין שצי</w:t>
      </w:r>
      <w:r w:rsidR="008726F6">
        <w:rPr>
          <w:rFonts w:ascii="David" w:hAnsi="David" w:cs="David" w:hint="cs"/>
          <w:color w:val="000000"/>
          <w:sz w:val="24"/>
          <w:szCs w:val="24"/>
          <w:rtl/>
        </w:rPr>
        <w:t>י</w:t>
      </w:r>
      <w:r w:rsidRPr="00C86793">
        <w:rPr>
          <w:rFonts w:ascii="David" w:hAnsi="David" w:cs="David" w:hint="cs"/>
          <w:color w:val="000000"/>
          <w:sz w:val="24"/>
          <w:szCs w:val="24"/>
          <w:rtl/>
        </w:rPr>
        <w:t>נ</w:t>
      </w:r>
      <w:r w:rsidR="008726F6">
        <w:rPr>
          <w:rFonts w:ascii="David" w:hAnsi="David" w:cs="David" w:hint="cs"/>
          <w:color w:val="000000"/>
          <w:sz w:val="24"/>
          <w:szCs w:val="24"/>
          <w:rtl/>
        </w:rPr>
        <w:t>ת</w:t>
      </w:r>
      <w:r w:rsidRPr="00C86793">
        <w:rPr>
          <w:rFonts w:ascii="David" w:hAnsi="David" w:cs="David" w:hint="cs"/>
          <w:color w:val="000000"/>
          <w:sz w:val="24"/>
          <w:szCs w:val="24"/>
          <w:rtl/>
        </w:rPr>
        <w:t xml:space="preserve">י </w:t>
      </w:r>
      <w:r w:rsidRPr="00C86793">
        <w:rPr>
          <w:rFonts w:ascii="David" w:hAnsi="David" w:cs="David" w:hint="cs"/>
          <w:color w:val="000000"/>
          <w:sz w:val="24"/>
          <w:szCs w:val="24"/>
          <w:rtl/>
        </w:rPr>
        <w:lastRenderedPageBreak/>
        <w:t xml:space="preserve">לעיל, הוא </w:t>
      </w:r>
      <w:r w:rsidRPr="00C86793">
        <w:rPr>
          <w:rFonts w:ascii="David" w:hAnsi="David" w:cs="David"/>
          <w:sz w:val="24"/>
          <w:szCs w:val="24"/>
          <w:rtl/>
        </w:rPr>
        <w:t>תלה"מ (משפחה תל אביב-יפו) 1101-04-23 </w:t>
      </w:r>
      <w:r w:rsidRPr="00C86793">
        <w:rPr>
          <w:rFonts w:ascii="David" w:hAnsi="David" w:cs="David"/>
          <w:b/>
          <w:bCs/>
          <w:sz w:val="24"/>
          <w:szCs w:val="24"/>
          <w:rtl/>
        </w:rPr>
        <w:t>א.ג נ' ל. כ</w:t>
      </w:r>
      <w:r w:rsidRPr="00C86793">
        <w:rPr>
          <w:rFonts w:ascii="David" w:hAnsi="David" w:cs="David"/>
          <w:sz w:val="24"/>
          <w:szCs w:val="24"/>
          <w:rtl/>
        </w:rPr>
        <w:t> (נבו 10.9.2024)‏</w:t>
      </w:r>
      <w:r w:rsidRPr="00C86793">
        <w:rPr>
          <w:rFonts w:ascii="David" w:hAnsi="David" w:cs="David"/>
          <w:color w:val="000000"/>
          <w:sz w:val="24"/>
          <w:szCs w:val="24"/>
          <w:rtl/>
        </w:rPr>
        <w:t>‏</w:t>
      </w:r>
      <w:r w:rsidRPr="00C86793">
        <w:rPr>
          <w:rFonts w:ascii="David" w:hAnsi="David" w:cs="David" w:hint="cs"/>
          <w:color w:val="000000"/>
          <w:sz w:val="24"/>
          <w:szCs w:val="24"/>
          <w:rtl/>
        </w:rPr>
        <w:t xml:space="preserve">: </w:t>
      </w:r>
      <w:r w:rsidRPr="00C86793">
        <w:rPr>
          <w:rFonts w:ascii="David" w:hAnsi="David" w:cs="David"/>
          <w:b/>
          <w:bCs/>
          <w:sz w:val="24"/>
          <w:szCs w:val="24"/>
          <w:rtl/>
        </w:rPr>
        <w:t>"</w:t>
      </w:r>
      <w:r w:rsidRPr="00C86793">
        <w:rPr>
          <w:rFonts w:ascii="David" w:hAnsi="David" w:cs="David"/>
          <w:b/>
          <w:bCs/>
          <w:color w:val="000000"/>
          <w:sz w:val="24"/>
          <w:szCs w:val="24"/>
          <w:rtl/>
        </w:rPr>
        <w:t>משדחיתי את טענות האב בדבר גזירת פיצוי מהסכם הממון, אוסיף ואסביר כי דרישתו לפיצוי בסך 50,000 ₪ לכל שנת ניתוק היא למעשה על הצד הנמוך והאב ראוי לפיצוי כזה, מה גם שאין עוד לצפות לחידוש הקשר בעתיד הנראה לעין</w:t>
      </w:r>
      <w:r w:rsidRPr="00C86793">
        <w:rPr>
          <w:rFonts w:ascii="David" w:hAnsi="David" w:cs="David"/>
          <w:b/>
          <w:bCs/>
          <w:color w:val="000000"/>
          <w:sz w:val="24"/>
          <w:szCs w:val="24"/>
        </w:rPr>
        <w:t>"</w:t>
      </w:r>
      <w:r w:rsidRPr="00C86793">
        <w:rPr>
          <w:rFonts w:ascii="David" w:hAnsi="David" w:cs="David" w:hint="cs"/>
          <w:sz w:val="24"/>
          <w:szCs w:val="24"/>
          <w:rtl/>
        </w:rPr>
        <w:t>. הסכום שנקבע על ידי בית משפט קמא הינו למעשה פיצוי בסך 16,500 ₪ עבור כל שנת נתק (משנת 2014 ועד שנת 2024, מועד כתיבת פסק הדין קמא), המהווה</w:t>
      </w:r>
      <w:r>
        <w:rPr>
          <w:rFonts w:ascii="David" w:hAnsi="David" w:cs="David" w:hint="cs"/>
          <w:sz w:val="24"/>
          <w:szCs w:val="24"/>
          <w:rtl/>
        </w:rPr>
        <w:t xml:space="preserve"> כ-</w:t>
      </w:r>
      <w:r w:rsidRPr="00C86793">
        <w:rPr>
          <w:rFonts w:ascii="David" w:hAnsi="David" w:cs="David" w:hint="cs"/>
          <w:sz w:val="24"/>
          <w:szCs w:val="24"/>
          <w:rtl/>
        </w:rPr>
        <w:t xml:space="preserve">45 ₪ עבור כל יום בו המשיבה והקטין בנתק. </w:t>
      </w:r>
    </w:p>
    <w:p w:rsidR="009A3EDE" w:rsidRPr="006576E5" w:rsidRDefault="009A3EDE" w:rsidP="009A3EDE">
      <w:pPr>
        <w:pStyle w:val="ad"/>
        <w:rPr>
          <w:rFonts w:ascii="David" w:hAnsi="David" w:cs="David"/>
          <w:sz w:val="24"/>
          <w:szCs w:val="24"/>
          <w:rtl/>
        </w:rPr>
      </w:pPr>
    </w:p>
    <w:p w:rsidR="009A3EDE" w:rsidRPr="009F52BA" w:rsidRDefault="009A3EDE" w:rsidP="009A3EDE">
      <w:pPr>
        <w:pStyle w:val="ad"/>
        <w:numPr>
          <w:ilvl w:val="0"/>
          <w:numId w:val="3"/>
        </w:numPr>
        <w:spacing w:line="360" w:lineRule="auto"/>
        <w:ind w:left="226"/>
        <w:jc w:val="both"/>
        <w:rPr>
          <w:rFonts w:ascii="David" w:hAnsi="David" w:cs="David"/>
          <w:sz w:val="24"/>
          <w:szCs w:val="24"/>
        </w:rPr>
      </w:pPr>
      <w:r w:rsidRPr="006576E5">
        <w:rPr>
          <w:rFonts w:ascii="David" w:hAnsi="David" w:cs="David" w:hint="cs"/>
          <w:sz w:val="24"/>
          <w:szCs w:val="24"/>
          <w:rtl/>
        </w:rPr>
        <w:t>אשר על כן, אני סבורה שגם ברכיב שיעור הפיצוי אין מקום להתערב</w:t>
      </w:r>
      <w:r>
        <w:rPr>
          <w:rFonts w:ascii="David" w:hAnsi="David" w:cs="David" w:hint="cs"/>
          <w:sz w:val="24"/>
          <w:szCs w:val="24"/>
          <w:rtl/>
        </w:rPr>
        <w:t xml:space="preserve"> ואין מקום להפחיתו</w:t>
      </w:r>
      <w:r w:rsidRPr="006576E5">
        <w:rPr>
          <w:rFonts w:ascii="David" w:hAnsi="David" w:cs="David" w:hint="cs"/>
          <w:sz w:val="24"/>
          <w:szCs w:val="24"/>
          <w:rtl/>
        </w:rPr>
        <w:t xml:space="preserve">. </w:t>
      </w:r>
      <w:r w:rsidRPr="006576E5">
        <w:rPr>
          <w:rFonts w:ascii="David" w:hAnsi="David" w:cs="David" w:hint="cs"/>
          <w:b/>
          <w:bCs/>
          <w:sz w:val="24"/>
          <w:szCs w:val="24"/>
          <w:rtl/>
        </w:rPr>
        <w:t xml:space="preserve"> </w:t>
      </w:r>
    </w:p>
    <w:p w:rsidR="009A3EDE" w:rsidRPr="009F52BA" w:rsidRDefault="009A3EDE" w:rsidP="009A3EDE">
      <w:pPr>
        <w:pStyle w:val="ad"/>
        <w:spacing w:line="360" w:lineRule="auto"/>
        <w:ind w:left="226"/>
        <w:jc w:val="both"/>
        <w:rPr>
          <w:rFonts w:ascii="David" w:hAnsi="David" w:cs="David"/>
          <w:sz w:val="24"/>
          <w:szCs w:val="24"/>
        </w:rPr>
      </w:pPr>
    </w:p>
    <w:p w:rsidR="009A3EDE" w:rsidRPr="009F52BA" w:rsidRDefault="009A3EDE" w:rsidP="009A3EDE">
      <w:pPr>
        <w:pStyle w:val="ad"/>
        <w:numPr>
          <w:ilvl w:val="0"/>
          <w:numId w:val="3"/>
        </w:numPr>
        <w:spacing w:line="360" w:lineRule="auto"/>
        <w:ind w:left="226"/>
        <w:jc w:val="both"/>
        <w:rPr>
          <w:rFonts w:ascii="David" w:hAnsi="David" w:cs="David"/>
          <w:sz w:val="24"/>
          <w:szCs w:val="24"/>
        </w:rPr>
      </w:pPr>
      <w:r w:rsidRPr="009F52BA">
        <w:rPr>
          <w:rFonts w:ascii="David" w:hAnsi="David" w:cs="David"/>
          <w:color w:val="000000"/>
          <w:sz w:val="24"/>
          <w:szCs w:val="24"/>
          <w:rtl/>
        </w:rPr>
        <w:t>באשר ל</w:t>
      </w:r>
      <w:r w:rsidRPr="009F52BA">
        <w:rPr>
          <w:rFonts w:ascii="David" w:hAnsi="David" w:cs="David" w:hint="cs"/>
          <w:color w:val="000000"/>
          <w:sz w:val="24"/>
          <w:szCs w:val="24"/>
          <w:rtl/>
        </w:rPr>
        <w:t>סוגיית</w:t>
      </w:r>
      <w:r w:rsidRPr="009F52BA">
        <w:rPr>
          <w:rFonts w:ascii="David" w:hAnsi="David" w:cs="David"/>
          <w:color w:val="000000"/>
          <w:sz w:val="24"/>
          <w:szCs w:val="24"/>
          <w:rtl/>
        </w:rPr>
        <w:t xml:space="preserve"> ההוצאות, </w:t>
      </w:r>
      <w:r w:rsidRPr="009F52BA">
        <w:rPr>
          <w:rFonts w:ascii="David" w:hAnsi="David" w:cs="David" w:hint="cs"/>
          <w:color w:val="000000"/>
          <w:sz w:val="24"/>
          <w:szCs w:val="24"/>
          <w:rtl/>
        </w:rPr>
        <w:t xml:space="preserve">לא מצאתי להתערב בקביעת בית משפט קמא. </w:t>
      </w:r>
      <w:r w:rsidRPr="009F52BA">
        <w:rPr>
          <w:rFonts w:ascii="David" w:hAnsi="David" w:cs="David"/>
          <w:color w:val="000000"/>
          <w:sz w:val="24"/>
          <w:szCs w:val="24"/>
          <w:rtl/>
        </w:rPr>
        <w:t>"</w:t>
      </w:r>
      <w:r w:rsidRPr="009F52BA">
        <w:rPr>
          <w:rFonts w:ascii="David" w:hAnsi="David" w:cs="David"/>
          <w:b/>
          <w:bCs/>
          <w:color w:val="000000"/>
          <w:sz w:val="24"/>
          <w:szCs w:val="24"/>
          <w:rtl/>
        </w:rPr>
        <w:t>כלל הוא כי ערכאת ערעור לא תיטה להתערב בקביעותיה של הערכאה הדיונית בענ</w:t>
      </w:r>
      <w:r w:rsidRPr="009F52BA">
        <w:rPr>
          <w:rFonts w:ascii="David" w:hAnsi="David" w:cs="David" w:hint="cs"/>
          <w:b/>
          <w:bCs/>
          <w:color w:val="000000"/>
          <w:sz w:val="24"/>
          <w:szCs w:val="24"/>
          <w:rtl/>
        </w:rPr>
        <w:t>י</w:t>
      </w:r>
      <w:r w:rsidRPr="009F52BA">
        <w:rPr>
          <w:rFonts w:ascii="David" w:hAnsi="David" w:cs="David"/>
          <w:b/>
          <w:bCs/>
          <w:color w:val="000000"/>
          <w:sz w:val="24"/>
          <w:szCs w:val="24"/>
          <w:rtl/>
        </w:rPr>
        <w:t>ין הוצאות המשפט ושכר טרחה</w:t>
      </w:r>
      <w:r w:rsidRPr="009F52BA">
        <w:rPr>
          <w:rFonts w:ascii="David" w:hAnsi="David" w:cs="David"/>
          <w:color w:val="000000"/>
          <w:sz w:val="24"/>
          <w:szCs w:val="24"/>
        </w:rPr>
        <w:t>"</w:t>
      </w:r>
      <w:r w:rsidRPr="009F52BA">
        <w:rPr>
          <w:rFonts w:ascii="David" w:hAnsi="David" w:cs="David"/>
          <w:b/>
          <w:bCs/>
          <w:sz w:val="24"/>
          <w:szCs w:val="24"/>
          <w:rtl/>
        </w:rPr>
        <w:t xml:space="preserve"> (עיינו לדוגמה </w:t>
      </w:r>
      <w:r w:rsidRPr="009F52BA">
        <w:rPr>
          <w:rFonts w:ascii="David" w:hAnsi="David" w:cs="David"/>
          <w:sz w:val="24"/>
          <w:szCs w:val="24"/>
          <w:rtl/>
        </w:rPr>
        <w:t>ע"א 10078/03 </w:t>
      </w:r>
      <w:r w:rsidRPr="009F52BA">
        <w:rPr>
          <w:rFonts w:ascii="David" w:hAnsi="David" w:cs="David"/>
          <w:b/>
          <w:bCs/>
          <w:sz w:val="24"/>
          <w:szCs w:val="24"/>
          <w:rtl/>
        </w:rPr>
        <w:t>אורי שתיל נ' מקורות חברת מים בע"</w:t>
      </w:r>
      <w:r w:rsidRPr="009F52BA">
        <w:rPr>
          <w:rFonts w:ascii="David" w:hAnsi="David" w:cs="David" w:hint="cs"/>
          <w:b/>
          <w:bCs/>
          <w:sz w:val="24"/>
          <w:szCs w:val="24"/>
          <w:rtl/>
        </w:rPr>
        <w:t xml:space="preserve">מ, </w:t>
      </w:r>
      <w:r w:rsidRPr="009F52BA">
        <w:rPr>
          <w:rFonts w:ascii="David" w:hAnsi="David" w:cs="David"/>
          <w:sz w:val="24"/>
          <w:szCs w:val="24"/>
          <w:rtl/>
        </w:rPr>
        <w:t>סב(1) 803 (2007)‏</w:t>
      </w:r>
      <w:r w:rsidRPr="009F52BA">
        <w:rPr>
          <w:rFonts w:ascii="David" w:hAnsi="David" w:cs="David"/>
          <w:color w:val="000000"/>
          <w:sz w:val="24"/>
          <w:szCs w:val="24"/>
          <w:rtl/>
        </w:rPr>
        <w:t>‏ והאסמכתאות המצוינות שם)</w:t>
      </w:r>
      <w:r w:rsidRPr="009F52BA">
        <w:rPr>
          <w:rFonts w:ascii="David" w:hAnsi="David" w:cs="David" w:hint="cs"/>
          <w:sz w:val="24"/>
          <w:szCs w:val="24"/>
          <w:rtl/>
        </w:rPr>
        <w:t>, וכן:</w:t>
      </w:r>
      <w:r w:rsidRPr="009F52BA">
        <w:rPr>
          <w:rFonts w:ascii="David" w:hAnsi="David" w:cs="David" w:hint="cs"/>
          <w:b/>
          <w:bCs/>
          <w:sz w:val="24"/>
          <w:szCs w:val="24"/>
          <w:rtl/>
        </w:rPr>
        <w:t xml:space="preserve"> </w:t>
      </w:r>
      <w:r w:rsidRPr="009F52BA">
        <w:rPr>
          <w:rFonts w:ascii="David" w:hAnsi="David" w:cs="David"/>
          <w:b/>
          <w:bCs/>
          <w:color w:val="000000"/>
          <w:sz w:val="24"/>
          <w:szCs w:val="24"/>
          <w:rtl/>
        </w:rPr>
        <w:t>"הלכה היא מלפנינו שבדרך כלל אין דרגת הערעור מתערבת בקביעת הדרגה הראשונה לעניין פסיקת שכר והוצאות. צריכות להתגלות אי-סבירות רבה וסטייה בלתי מובנת מהרמה המקובלת כדי שתבוא התערבות כז</w:t>
      </w:r>
      <w:r w:rsidRPr="009F52BA">
        <w:rPr>
          <w:rFonts w:ascii="David" w:hAnsi="David" w:cs="David" w:hint="cs"/>
          <w:b/>
          <w:bCs/>
          <w:color w:val="000000"/>
          <w:sz w:val="24"/>
          <w:szCs w:val="24"/>
          <w:rtl/>
        </w:rPr>
        <w:t>ו"</w:t>
      </w:r>
      <w:r w:rsidRPr="009F52BA">
        <w:rPr>
          <w:rFonts w:ascii="David" w:hAnsi="David" w:cs="David" w:hint="cs"/>
          <w:b/>
          <w:bCs/>
          <w:sz w:val="20"/>
          <w:szCs w:val="20"/>
          <w:rtl/>
        </w:rPr>
        <w:t xml:space="preserve"> (</w:t>
      </w:r>
      <w:r w:rsidRPr="009F52BA">
        <w:rPr>
          <w:rFonts w:ascii="David" w:hAnsi="David" w:cs="David"/>
          <w:sz w:val="24"/>
          <w:szCs w:val="24"/>
          <w:rtl/>
        </w:rPr>
        <w:t>ע"א 136/92 </w:t>
      </w:r>
      <w:r w:rsidRPr="009F52BA">
        <w:rPr>
          <w:rFonts w:ascii="David" w:hAnsi="David" w:cs="David"/>
          <w:b/>
          <w:bCs/>
          <w:sz w:val="24"/>
          <w:szCs w:val="24"/>
          <w:rtl/>
        </w:rPr>
        <w:t>ביניש-עדיאל - עורכי-דין נ' דניה סיבוס חברה לבנין בע"</w:t>
      </w:r>
      <w:r w:rsidRPr="009F52BA">
        <w:rPr>
          <w:rFonts w:ascii="David" w:hAnsi="David" w:cs="David" w:hint="cs"/>
          <w:b/>
          <w:bCs/>
          <w:sz w:val="24"/>
          <w:szCs w:val="24"/>
          <w:rtl/>
        </w:rPr>
        <w:t xml:space="preserve">מ, </w:t>
      </w:r>
      <w:r w:rsidRPr="009F52BA">
        <w:rPr>
          <w:rFonts w:ascii="David" w:hAnsi="David" w:cs="David"/>
          <w:sz w:val="24"/>
          <w:szCs w:val="24"/>
          <w:rtl/>
        </w:rPr>
        <w:t>מז(5) 114 (1993)‏</w:t>
      </w:r>
      <w:r w:rsidRPr="009F52BA">
        <w:rPr>
          <w:rFonts w:ascii="David" w:hAnsi="David" w:cs="David"/>
          <w:color w:val="000000"/>
          <w:sz w:val="24"/>
          <w:szCs w:val="24"/>
          <w:rtl/>
        </w:rPr>
        <w:t>‏</w:t>
      </w:r>
      <w:r w:rsidRPr="009F52BA">
        <w:rPr>
          <w:rFonts w:ascii="David" w:hAnsi="David" w:cs="David" w:hint="cs"/>
          <w:color w:val="000000"/>
          <w:sz w:val="24"/>
          <w:szCs w:val="24"/>
          <w:rtl/>
        </w:rPr>
        <w:t>)</w:t>
      </w:r>
      <w:r w:rsidRPr="009F52BA">
        <w:rPr>
          <w:rFonts w:ascii="David" w:hAnsi="David" w:cs="David" w:hint="cs"/>
          <w:sz w:val="24"/>
          <w:szCs w:val="24"/>
          <w:rtl/>
        </w:rPr>
        <w:t>.</w:t>
      </w:r>
    </w:p>
    <w:p w:rsidR="009A3EDE" w:rsidRDefault="009A3EDE" w:rsidP="009A3EDE">
      <w:pPr>
        <w:pStyle w:val="ad"/>
        <w:spacing w:line="360" w:lineRule="auto"/>
        <w:ind w:left="226"/>
        <w:jc w:val="both"/>
        <w:rPr>
          <w:rFonts w:ascii="David" w:hAnsi="David" w:cs="David"/>
          <w:sz w:val="24"/>
          <w:szCs w:val="24"/>
        </w:rPr>
      </w:pPr>
    </w:p>
    <w:p w:rsidR="009A3EDE" w:rsidRPr="00C86793" w:rsidRDefault="009A3EDE" w:rsidP="009A3EDE">
      <w:pPr>
        <w:pStyle w:val="ad"/>
        <w:numPr>
          <w:ilvl w:val="0"/>
          <w:numId w:val="3"/>
        </w:numPr>
        <w:spacing w:line="360" w:lineRule="auto"/>
        <w:ind w:left="226"/>
        <w:jc w:val="both"/>
        <w:rPr>
          <w:rFonts w:ascii="David" w:hAnsi="David" w:cs="David"/>
          <w:sz w:val="24"/>
          <w:szCs w:val="24"/>
          <w:rtl/>
        </w:rPr>
      </w:pPr>
      <w:r>
        <w:rPr>
          <w:rFonts w:ascii="David" w:hAnsi="David" w:cs="David" w:hint="cs"/>
          <w:sz w:val="24"/>
          <w:szCs w:val="24"/>
          <w:rtl/>
        </w:rPr>
        <w:t xml:space="preserve">סוף דבר וכאמור לעיל - אני בדעה שיש לדחות את הערעור על כל חלקיו ולחייב את האב בהוצאות משפט בגין הליך זה. </w:t>
      </w:r>
    </w:p>
    <w:p w:rsidR="009A3EDE" w:rsidRPr="00C770E3" w:rsidRDefault="009A3EDE">
      <w:pPr>
        <w:spacing w:line="360" w:lineRule="auto"/>
        <w:jc w:val="both"/>
        <w:rPr>
          <w:rFonts w:ascii="Arial" w:hAnsi="Arial"/>
          <w:noProof w:val="0"/>
          <w:rtl/>
        </w:rPr>
      </w:pPr>
    </w:p>
    <w:p w:rsidR="00694556" w:rsidRDefault="009A3EDE" w:rsidP="001B6759">
      <w:pPr>
        <w:spacing w:after="120" w:line="360" w:lineRule="auto"/>
        <w:jc w:val="both"/>
        <w:rPr>
          <w:rFonts w:ascii="Arial" w:hAnsi="Arial"/>
          <w:noProof w:val="0"/>
          <w:rtl/>
        </w:rPr>
      </w:pPr>
      <w:r w:rsidRPr="009A3EDE">
        <w:rPr>
          <w:rFonts w:ascii="Arial" w:hAnsi="Arial" w:hint="cs"/>
          <w:b/>
          <w:bCs/>
          <w:noProof w:val="0"/>
          <w:u w:val="single"/>
          <w:rtl/>
        </w:rPr>
        <w:t>השופט אריה נאמן</w:t>
      </w:r>
      <w:r w:rsidRPr="009A3EDE">
        <w:rPr>
          <w:rFonts w:ascii="Arial" w:hAnsi="Arial" w:hint="cs"/>
          <w:b/>
          <w:bCs/>
          <w:noProof w:val="0"/>
          <w:rtl/>
        </w:rPr>
        <w:t>:</w:t>
      </w:r>
    </w:p>
    <w:p w:rsidR="009A3EDE" w:rsidRDefault="009A3EDE" w:rsidP="009A3EDE">
      <w:pPr>
        <w:spacing w:line="360" w:lineRule="auto"/>
        <w:jc w:val="both"/>
        <w:rPr>
          <w:rFonts w:ascii="Arial" w:hAnsi="Arial"/>
          <w:noProof w:val="0"/>
          <w:rtl/>
        </w:rPr>
      </w:pPr>
      <w:r>
        <w:rPr>
          <w:rFonts w:ascii="Arial" w:hAnsi="Arial" w:hint="cs"/>
          <w:noProof w:val="0"/>
          <w:rtl/>
        </w:rPr>
        <w:t>קראתי בעיון את חוות הדעת של שני חבריי, ואני מצטרף לחוות</w:t>
      </w:r>
      <w:r w:rsidR="00D61D0F">
        <w:rPr>
          <w:rFonts w:ascii="Arial" w:hAnsi="Arial" w:hint="cs"/>
          <w:noProof w:val="0"/>
          <w:rtl/>
        </w:rPr>
        <w:t xml:space="preserve"> דעתו של חברי השופט חננאל שרעבי על נימוקיה.</w:t>
      </w:r>
    </w:p>
    <w:p w:rsidR="009A3EDE" w:rsidRDefault="009A3EDE" w:rsidP="009A3EDE">
      <w:pPr>
        <w:spacing w:line="360" w:lineRule="auto"/>
        <w:jc w:val="both"/>
        <w:rPr>
          <w:rFonts w:ascii="Arial" w:hAnsi="Arial"/>
          <w:noProof w:val="0"/>
          <w:rtl/>
        </w:rPr>
      </w:pPr>
    </w:p>
    <w:p w:rsidR="009A3EDE" w:rsidRDefault="009A3EDE" w:rsidP="009A3EDE">
      <w:pPr>
        <w:spacing w:line="360" w:lineRule="auto"/>
        <w:jc w:val="both"/>
        <w:rPr>
          <w:rFonts w:ascii="Arial" w:hAnsi="Arial"/>
          <w:noProof w:val="0"/>
          <w:rtl/>
        </w:rPr>
      </w:pPr>
    </w:p>
    <w:p w:rsidR="00D61D0F" w:rsidRDefault="001B6759" w:rsidP="00850422">
      <w:pPr>
        <w:spacing w:after="120" w:line="360" w:lineRule="auto"/>
        <w:jc w:val="both"/>
        <w:rPr>
          <w:rFonts w:ascii="Arial" w:hAnsi="Arial"/>
          <w:b/>
          <w:bCs/>
          <w:noProof w:val="0"/>
          <w:rtl/>
        </w:rPr>
      </w:pPr>
      <w:r w:rsidRPr="001B6759">
        <w:rPr>
          <w:rFonts w:ascii="Arial" w:hAnsi="Arial" w:hint="cs"/>
          <w:b/>
          <w:bCs/>
          <w:noProof w:val="0"/>
          <w:u w:val="single"/>
          <w:rtl/>
        </w:rPr>
        <w:t xml:space="preserve">לאור כל האמור לעיל, הוחלט ברוב דעות </w:t>
      </w:r>
      <w:r w:rsidR="00850422">
        <w:rPr>
          <w:rFonts w:ascii="Arial" w:hAnsi="Arial" w:hint="cs"/>
          <w:b/>
          <w:bCs/>
          <w:noProof w:val="0"/>
          <w:u w:val="single"/>
          <w:rtl/>
        </w:rPr>
        <w:t>על קבלה חלקית של הערעור</w:t>
      </w:r>
      <w:r>
        <w:rPr>
          <w:rFonts w:ascii="Arial" w:hAnsi="Arial" w:hint="cs"/>
          <w:b/>
          <w:bCs/>
          <w:noProof w:val="0"/>
          <w:u w:val="single"/>
          <w:rtl/>
        </w:rPr>
        <w:t>, בנקודות שפורטו בסע</w:t>
      </w:r>
      <w:r w:rsidR="00D61D0F">
        <w:rPr>
          <w:rFonts w:ascii="Arial" w:hAnsi="Arial" w:hint="cs"/>
          <w:b/>
          <w:bCs/>
          <w:noProof w:val="0"/>
          <w:u w:val="single"/>
          <w:rtl/>
        </w:rPr>
        <w:t>יף 52 לחוות דעתו של השופט שרעבי</w:t>
      </w:r>
      <w:r w:rsidR="00D61D0F">
        <w:rPr>
          <w:rFonts w:ascii="Arial" w:hAnsi="Arial" w:hint="cs"/>
          <w:b/>
          <w:bCs/>
          <w:noProof w:val="0"/>
          <w:rtl/>
        </w:rPr>
        <w:t>.</w:t>
      </w:r>
    </w:p>
    <w:p w:rsidR="001B6759" w:rsidRPr="001B6759" w:rsidRDefault="001B6759" w:rsidP="00850422">
      <w:pPr>
        <w:spacing w:after="120" w:line="360" w:lineRule="auto"/>
        <w:jc w:val="both"/>
        <w:rPr>
          <w:rFonts w:ascii="David" w:hAnsi="David"/>
          <w:b/>
          <w:bCs/>
          <w:rtl/>
        </w:rPr>
      </w:pPr>
      <w:r>
        <w:rPr>
          <w:rFonts w:ascii="Arial" w:hAnsi="Arial" w:hint="cs"/>
          <w:b/>
          <w:bCs/>
          <w:noProof w:val="0"/>
          <w:u w:val="single"/>
          <w:rtl/>
        </w:rPr>
        <w:t xml:space="preserve">התוצאה האופרטיבית של ערעור זה היא </w:t>
      </w:r>
      <w:r w:rsidRPr="001B6759">
        <w:rPr>
          <w:rFonts w:ascii="Arial" w:hAnsi="Arial" w:hint="cs"/>
          <w:b/>
          <w:bCs/>
          <w:noProof w:val="0"/>
          <w:u w:val="single"/>
          <w:rtl/>
        </w:rPr>
        <w:t>כדלקמן</w:t>
      </w:r>
      <w:r w:rsidRPr="001B6759">
        <w:rPr>
          <w:rFonts w:ascii="Arial" w:hAnsi="Arial" w:hint="cs"/>
          <w:b/>
          <w:bCs/>
          <w:noProof w:val="0"/>
          <w:rtl/>
        </w:rPr>
        <w:t>:</w:t>
      </w:r>
    </w:p>
    <w:p w:rsidR="001B6759" w:rsidRPr="001B6759" w:rsidRDefault="001B6759" w:rsidP="001B6759">
      <w:pPr>
        <w:spacing w:after="120" w:line="360" w:lineRule="auto"/>
        <w:ind w:left="1440" w:hanging="720"/>
        <w:jc w:val="both"/>
        <w:rPr>
          <w:rFonts w:ascii="David" w:hAnsi="David"/>
          <w:b/>
          <w:bCs/>
          <w:rtl/>
        </w:rPr>
      </w:pPr>
      <w:r w:rsidRPr="001B6759">
        <w:rPr>
          <w:rFonts w:ascii="David" w:hAnsi="David" w:hint="cs"/>
          <w:b/>
          <w:bCs/>
          <w:rtl/>
        </w:rPr>
        <w:t>א.</w:t>
      </w:r>
      <w:r w:rsidRPr="001B6759">
        <w:rPr>
          <w:rFonts w:ascii="David" w:hAnsi="David" w:hint="cs"/>
          <w:b/>
          <w:bCs/>
          <w:rtl/>
        </w:rPr>
        <w:tab/>
        <w:t xml:space="preserve">המערער ישלם למשיבה תוך 30 ימים מהיום את סכום הפיצוי הנזיקי, לאחר הפחתת האשם התורם, בסכום של 90,000 ₪, בצירוף סכום ההוצאות קמא בשיעור של 30,000 ₪. סך הכל 120,000 ₪, בצירוף הפרשי הצמדה וריבית כדין מיום מתן פסק הדין קמא (24.3.2024) ועד ליום התשלום המלא בפועל. </w:t>
      </w:r>
      <w:r w:rsidRPr="001B6759">
        <w:rPr>
          <w:rFonts w:ascii="David" w:hAnsi="David"/>
          <w:b/>
          <w:bCs/>
          <w:rtl/>
        </w:rPr>
        <w:tab/>
      </w:r>
    </w:p>
    <w:p w:rsidR="001B6759" w:rsidRPr="001B6759" w:rsidRDefault="001B6759" w:rsidP="001B6759">
      <w:pPr>
        <w:spacing w:after="120" w:line="360" w:lineRule="auto"/>
        <w:ind w:left="1440" w:hanging="720"/>
        <w:jc w:val="both"/>
        <w:rPr>
          <w:rFonts w:ascii="David" w:hAnsi="David"/>
          <w:b/>
          <w:bCs/>
          <w:rtl/>
        </w:rPr>
      </w:pPr>
      <w:r w:rsidRPr="001B6759">
        <w:rPr>
          <w:rFonts w:ascii="David" w:hAnsi="David" w:hint="cs"/>
          <w:b/>
          <w:bCs/>
          <w:rtl/>
        </w:rPr>
        <w:t>ב.</w:t>
      </w:r>
      <w:r w:rsidRPr="001B6759">
        <w:rPr>
          <w:rFonts w:ascii="David" w:hAnsi="David" w:hint="cs"/>
          <w:b/>
          <w:bCs/>
          <w:rtl/>
        </w:rPr>
        <w:tab/>
        <w:t xml:space="preserve">המשיבה תישא בהוצאות המערער בערעור זה בשיעור של 15,000 ₪, הניתנים לקיזוז מסכום הפיצוי וההוצאות הנקובים בסעיף קטן א' לעיל. </w:t>
      </w:r>
    </w:p>
    <w:p w:rsidR="001B6759" w:rsidRPr="001B6759" w:rsidRDefault="001B6759" w:rsidP="001B6759">
      <w:pPr>
        <w:spacing w:after="120" w:line="360" w:lineRule="auto"/>
        <w:ind w:left="1440" w:hanging="720"/>
        <w:jc w:val="both"/>
        <w:rPr>
          <w:rFonts w:ascii="David" w:hAnsi="David"/>
          <w:b/>
          <w:bCs/>
          <w:rtl/>
        </w:rPr>
      </w:pPr>
      <w:r w:rsidRPr="001B6759">
        <w:rPr>
          <w:rFonts w:ascii="David" w:hAnsi="David" w:hint="cs"/>
          <w:b/>
          <w:bCs/>
          <w:rtl/>
        </w:rPr>
        <w:t>ג.</w:t>
      </w:r>
      <w:r w:rsidRPr="001B6759">
        <w:rPr>
          <w:rFonts w:ascii="David" w:hAnsi="David" w:hint="cs"/>
          <w:b/>
          <w:bCs/>
          <w:rtl/>
        </w:rPr>
        <w:tab/>
        <w:t>עירבון שהפקיד המערער בערעור זה, יושב לו באמצעות באת כוחו.</w:t>
      </w:r>
    </w:p>
    <w:p w:rsidR="001B6759" w:rsidRDefault="001B6759" w:rsidP="001B6759">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1B6759">
      <w:pPr>
        <w:spacing w:line="360" w:lineRule="auto"/>
        <w:jc w:val="both"/>
        <w:rPr>
          <w:rFonts w:ascii="Arial" w:hAnsi="Arial"/>
          <w:noProof w:val="0"/>
          <w:rtl/>
        </w:rPr>
      </w:pPr>
      <w:r>
        <w:rPr>
          <w:rFonts w:ascii="Arial" w:hAnsi="Arial" w:hint="cs"/>
          <w:noProof w:val="0"/>
          <w:rtl/>
        </w:rPr>
        <w:t>המזכירות תעביר את פסק הדין לצדדים.</w:t>
      </w:r>
    </w:p>
    <w:p w:rsidR="001B6759" w:rsidRDefault="001B6759">
      <w:pPr>
        <w:spacing w:line="360" w:lineRule="auto"/>
        <w:jc w:val="both"/>
        <w:rPr>
          <w:rFonts w:ascii="Arial" w:hAnsi="Arial"/>
          <w:b/>
          <w:bCs/>
          <w:noProof w:val="0"/>
          <w:rtl/>
        </w:rPr>
      </w:pPr>
    </w:p>
    <w:p w:rsidR="001B6759" w:rsidRPr="001B6759" w:rsidRDefault="001B6759">
      <w:pPr>
        <w:spacing w:line="360" w:lineRule="auto"/>
        <w:jc w:val="both"/>
        <w:rPr>
          <w:rFonts w:ascii="Arial" w:hAnsi="Arial"/>
          <w:b/>
          <w:bCs/>
          <w:noProof w:val="0"/>
          <w:rtl/>
        </w:rPr>
      </w:pPr>
      <w:r w:rsidRPr="001B6759">
        <w:rPr>
          <w:rFonts w:ascii="Arial" w:hAnsi="Arial" w:hint="cs"/>
          <w:b/>
          <w:bCs/>
          <w:noProof w:val="0"/>
          <w:rtl/>
        </w:rPr>
        <w:t>פסק הדין מותר לפרסום, תוך השמטת שמות הצדדים וכל פרט מזהה אחר.</w:t>
      </w:r>
    </w:p>
    <w:p w:rsidR="001B6759" w:rsidRDefault="001B6759">
      <w:pPr>
        <w:spacing w:line="360" w:lineRule="auto"/>
        <w:jc w:val="both"/>
        <w:rPr>
          <w:rFonts w:ascii="Arial" w:hAnsi="Arial"/>
          <w:noProof w:val="0"/>
          <w:rtl/>
        </w:rPr>
      </w:pPr>
    </w:p>
    <w:p w:rsidR="001B6759" w:rsidRDefault="001B6759">
      <w:pPr>
        <w:spacing w:line="360" w:lineRule="auto"/>
        <w:jc w:val="both"/>
        <w:rPr>
          <w:rFonts w:ascii="Arial" w:hAnsi="Arial"/>
          <w:noProof w:val="0"/>
          <w:rtl/>
        </w:rPr>
      </w:pPr>
    </w:p>
    <w:p w:rsidR="001B6759" w:rsidRPr="00C770E3" w:rsidRDefault="001B6759">
      <w:pPr>
        <w:spacing w:line="360" w:lineRule="auto"/>
        <w:jc w:val="both"/>
        <w:rPr>
          <w:rFonts w:ascii="Arial" w:hAnsi="Arial"/>
          <w:noProof w:val="0"/>
          <w:rtl/>
        </w:rPr>
      </w:pPr>
    </w:p>
    <w:p w:rsidR="00C43648" w:rsidRDefault="0043502B" w:rsidP="001B6759">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14 נובמבר 2024</w:t>
          </w:r>
        </w:sdtContent>
      </w:sdt>
      <w:r w:rsidR="00005C8B">
        <w:rPr>
          <w:rFonts w:ascii="Arial" w:hAnsi="Arial"/>
          <w:noProof w:val="0"/>
          <w:rtl/>
        </w:rPr>
        <w:t>, בהעדר הצדדים.</w:t>
      </w:r>
    </w:p>
    <w:p w:rsidR="001B6759" w:rsidRDefault="001B6759" w:rsidP="001B6759">
      <w:pPr>
        <w:spacing w:line="360" w:lineRule="auto"/>
        <w:jc w:val="both"/>
        <w:rPr>
          <w:rFonts w:ascii="Arial" w:hAnsi="Arial"/>
          <w:noProof w:val="0"/>
          <w:rtl/>
        </w:rPr>
      </w:pPr>
    </w:p>
    <w:p w:rsidR="001B6759" w:rsidRDefault="001B6759" w:rsidP="001B6759">
      <w:pPr>
        <w:spacing w:line="360" w:lineRule="auto"/>
        <w:jc w:val="both"/>
        <w:rPr>
          <w:rFonts w:ascii="Arial" w:hAnsi="Arial"/>
          <w:noProof w:val="0"/>
          <w:rtl/>
        </w:rPr>
      </w:pPr>
    </w:p>
    <w:p w:rsidR="001B6759" w:rsidRDefault="001B6759" w:rsidP="001B6759">
      <w:pPr>
        <w:spacing w:line="360" w:lineRule="auto"/>
        <w:jc w:val="both"/>
        <w:rPr>
          <w:rFonts w:ascii="Arial" w:hAnsi="Arial"/>
          <w:noProof w:val="0"/>
          <w:rtl/>
        </w:rPr>
      </w:pPr>
    </w:p>
    <w:p w:rsidR="001B6759" w:rsidRPr="00EC12BC" w:rsidRDefault="001B6759"/>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96"/>
        <w:gridCol w:w="354"/>
        <w:gridCol w:w="2312"/>
        <w:gridCol w:w="341"/>
        <w:gridCol w:w="2503"/>
      </w:tblGrid>
      <w:tr w:rsidR="001B6759" w:rsidRPr="00EC12BC" w:rsidTr="000210FB">
        <w:tc>
          <w:tcPr>
            <w:tcW w:w="2796" w:type="dxa"/>
            <w:tcBorders>
              <w:top w:val="nil"/>
              <w:left w:val="nil"/>
              <w:bottom w:val="single" w:sz="4" w:space="0" w:color="auto"/>
              <w:right w:val="nil"/>
            </w:tcBorders>
            <w:vAlign w:val="bottom"/>
          </w:tcPr>
          <w:p w:rsidR="001B6759" w:rsidRPr="00EC12BC" w:rsidRDefault="001B6759" w:rsidP="00BB162B">
            <w:pPr>
              <w:jc w:val="center"/>
              <w:rPr>
                <w:rFonts w:ascii="Courier New" w:hAnsi="Courier New"/>
                <w:b/>
                <w:bCs/>
              </w:rPr>
            </w:pPr>
            <w:r>
              <w:drawing>
                <wp:inline distT="0" distB="0" distL="0" distR="0" wp14:anchorId="49805456" wp14:editId="5B3046D9">
                  <wp:extent cx="1361051" cy="844004"/>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366341" cy="847284"/>
                          </a:xfrm>
                          <a:prstGeom prst="rect">
                            <a:avLst/>
                          </a:prstGeom>
                        </pic:spPr>
                      </pic:pic>
                    </a:graphicData>
                  </a:graphic>
                </wp:inline>
              </w:drawing>
            </w:r>
          </w:p>
        </w:tc>
        <w:tc>
          <w:tcPr>
            <w:tcW w:w="354" w:type="dxa"/>
            <w:vAlign w:val="bottom"/>
          </w:tcPr>
          <w:p w:rsidR="001B6759" w:rsidRPr="00EC12BC" w:rsidRDefault="001B6759" w:rsidP="00BB162B">
            <w:pPr>
              <w:jc w:val="center"/>
              <w:rPr>
                <w:rFonts w:ascii="Courier New" w:hAnsi="Courier New"/>
                <w:b/>
                <w:bCs/>
              </w:rPr>
            </w:pPr>
          </w:p>
        </w:tc>
        <w:tc>
          <w:tcPr>
            <w:tcW w:w="2312" w:type="dxa"/>
            <w:tcBorders>
              <w:top w:val="nil"/>
              <w:left w:val="nil"/>
              <w:bottom w:val="single" w:sz="4" w:space="0" w:color="auto"/>
              <w:right w:val="nil"/>
            </w:tcBorders>
            <w:vAlign w:val="bottom"/>
          </w:tcPr>
          <w:p w:rsidR="001B6759" w:rsidRPr="00EC12BC" w:rsidRDefault="001B6759" w:rsidP="00BB162B">
            <w:pPr>
              <w:jc w:val="center"/>
              <w:rPr>
                <w:rFonts w:ascii="Courier New" w:hAnsi="Courier New"/>
                <w:b/>
                <w:bCs/>
              </w:rPr>
            </w:pPr>
            <w:r>
              <w:drawing>
                <wp:inline distT="0" distB="0" distL="0" distR="0" wp14:anchorId="319D00F2" wp14:editId="6F3A089F">
                  <wp:extent cx="527685" cy="817880"/>
                  <wp:effectExtent l="0" t="0" r="5715" b="1270"/>
                  <wp:docPr id="3" name="תמונה 3"/>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685" cy="817880"/>
                          </a:xfrm>
                          <a:prstGeom prst="rect">
                            <a:avLst/>
                          </a:prstGeom>
                          <a:noFill/>
                          <a:ln>
                            <a:noFill/>
                          </a:ln>
                        </pic:spPr>
                      </pic:pic>
                    </a:graphicData>
                  </a:graphic>
                </wp:inline>
              </w:drawing>
            </w:r>
          </w:p>
        </w:tc>
        <w:tc>
          <w:tcPr>
            <w:tcW w:w="341" w:type="dxa"/>
            <w:vAlign w:val="bottom"/>
          </w:tcPr>
          <w:p w:rsidR="001B6759" w:rsidRPr="00EC12BC" w:rsidRDefault="001B6759" w:rsidP="00BB162B">
            <w:pPr>
              <w:jc w:val="center"/>
              <w:rPr>
                <w:rFonts w:ascii="Courier New" w:hAnsi="Courier New"/>
                <w:b/>
                <w:bCs/>
              </w:rPr>
            </w:pPr>
          </w:p>
        </w:tc>
        <w:tc>
          <w:tcPr>
            <w:tcW w:w="2503" w:type="dxa"/>
            <w:tcBorders>
              <w:top w:val="nil"/>
              <w:left w:val="nil"/>
              <w:bottom w:val="single" w:sz="4" w:space="0" w:color="auto"/>
              <w:right w:val="nil"/>
            </w:tcBorders>
            <w:vAlign w:val="bottom"/>
          </w:tcPr>
          <w:p w:rsidR="001B6759" w:rsidRPr="00EC12BC" w:rsidRDefault="001B6759" w:rsidP="00BB162B">
            <w:pPr>
              <w:jc w:val="center"/>
              <w:rPr>
                <w:rFonts w:ascii="Courier New" w:hAnsi="Courier New"/>
                <w:b/>
                <w:bCs/>
              </w:rPr>
            </w:pPr>
            <w:r>
              <w:drawing>
                <wp:inline distT="0" distB="0" distL="0" distR="0" wp14:anchorId="6A3F69AA" wp14:editId="3EF4D19F">
                  <wp:extent cx="848360" cy="877570"/>
                  <wp:effectExtent l="0" t="0" r="8890" b="0"/>
                  <wp:docPr id="2" name="תמונה 2"/>
                  <wp:cNvGraphicFramePr/>
                  <a:graphic xmlns:a="http://schemas.openxmlformats.org/drawingml/2006/main">
                    <a:graphicData uri="http://schemas.openxmlformats.org/drawingml/2006/picture">
                      <pic:pic xmlns:pic="http://schemas.openxmlformats.org/drawingml/2006/picture">
                        <pic:nvPicPr>
                          <pic:cNvPr id="2" name="תמונה 2"/>
                          <pic:cNvPicPr/>
                        </pic:nvPicPr>
                        <pic:blipFill>
                          <a:blip r:embed="rId12">
                            <a:extLst>
                              <a:ext uri="{BEBA8EAE-BF5A-486C-A8C5-ECC9F3942E4B}">
                                <a14:imgProps xmlns:a14="http://schemas.microsoft.com/office/drawing/2010/main">
                                  <a14:imgLayer r:embed="rId13">
                                    <a14:imgEffect>
                                      <a14:brightnessContrast bright="20000" contrast="20000"/>
                                    </a14:imgEffect>
                                  </a14:imgLayer>
                                </a14:imgProps>
                              </a:ext>
                            </a:extLst>
                          </a:blip>
                          <a:stretch>
                            <a:fillRect/>
                          </a:stretch>
                        </pic:blipFill>
                        <pic:spPr>
                          <a:xfrm>
                            <a:off x="0" y="0"/>
                            <a:ext cx="848360" cy="877570"/>
                          </a:xfrm>
                          <a:prstGeom prst="rect">
                            <a:avLst/>
                          </a:prstGeom>
                        </pic:spPr>
                      </pic:pic>
                    </a:graphicData>
                  </a:graphic>
                </wp:inline>
              </w:drawing>
            </w:r>
          </w:p>
        </w:tc>
      </w:tr>
      <w:tr w:rsidR="001B6759" w:rsidRPr="00EC12BC" w:rsidTr="000210FB">
        <w:tc>
          <w:tcPr>
            <w:tcW w:w="2796" w:type="dxa"/>
            <w:tcBorders>
              <w:top w:val="single" w:sz="4" w:space="0" w:color="auto"/>
              <w:left w:val="nil"/>
              <w:bottom w:val="nil"/>
              <w:right w:val="nil"/>
            </w:tcBorders>
          </w:tcPr>
          <w:p w:rsidR="001B6759" w:rsidRDefault="001B6759" w:rsidP="00BB162B">
            <w:pPr>
              <w:jc w:val="center"/>
              <w:rPr>
                <w:b/>
                <w:bCs/>
                <w:rtl/>
              </w:rPr>
            </w:pPr>
            <w:r>
              <w:rPr>
                <w:rFonts w:hint="cs"/>
                <w:b/>
                <w:bCs/>
                <w:rtl/>
              </w:rPr>
              <w:t>ח. שרעבי, שופט</w:t>
            </w:r>
          </w:p>
          <w:p w:rsidR="001B6759" w:rsidRPr="00EC12BC" w:rsidRDefault="001B6759" w:rsidP="00BB162B">
            <w:pPr>
              <w:jc w:val="center"/>
              <w:rPr>
                <w:b/>
                <w:bCs/>
              </w:rPr>
            </w:pPr>
            <w:r>
              <w:rPr>
                <w:rFonts w:hint="cs"/>
                <w:b/>
                <w:bCs/>
                <w:rtl/>
              </w:rPr>
              <w:t>אב"ד</w:t>
            </w:r>
          </w:p>
        </w:tc>
        <w:tc>
          <w:tcPr>
            <w:tcW w:w="354" w:type="dxa"/>
          </w:tcPr>
          <w:p w:rsidR="001B6759" w:rsidRPr="00EC12BC" w:rsidRDefault="001B6759" w:rsidP="00BB162B">
            <w:pPr>
              <w:spacing w:line="360" w:lineRule="auto"/>
              <w:rPr>
                <w:b/>
                <w:bCs/>
                <w:color w:val="FF0000"/>
              </w:rPr>
            </w:pPr>
          </w:p>
        </w:tc>
        <w:tc>
          <w:tcPr>
            <w:tcW w:w="2312" w:type="dxa"/>
            <w:tcBorders>
              <w:top w:val="single" w:sz="4" w:space="0" w:color="auto"/>
              <w:left w:val="nil"/>
              <w:bottom w:val="nil"/>
              <w:right w:val="nil"/>
            </w:tcBorders>
          </w:tcPr>
          <w:p w:rsidR="001B6759" w:rsidRPr="00EC12BC" w:rsidRDefault="001B6759" w:rsidP="00BB162B">
            <w:pPr>
              <w:spacing w:line="360" w:lineRule="auto"/>
              <w:jc w:val="center"/>
              <w:rPr>
                <w:b/>
                <w:bCs/>
              </w:rPr>
            </w:pPr>
            <w:r>
              <w:rPr>
                <w:rFonts w:hint="cs"/>
                <w:b/>
                <w:bCs/>
                <w:rtl/>
              </w:rPr>
              <w:t>א. אלון, שופטת</w:t>
            </w:r>
          </w:p>
        </w:tc>
        <w:tc>
          <w:tcPr>
            <w:tcW w:w="341" w:type="dxa"/>
          </w:tcPr>
          <w:p w:rsidR="001B6759" w:rsidRPr="00EC12BC" w:rsidRDefault="001B6759" w:rsidP="00BB162B">
            <w:pPr>
              <w:spacing w:line="360" w:lineRule="auto"/>
              <w:rPr>
                <w:b/>
                <w:bCs/>
                <w:color w:val="FF0000"/>
              </w:rPr>
            </w:pPr>
          </w:p>
        </w:tc>
        <w:tc>
          <w:tcPr>
            <w:tcW w:w="2503" w:type="dxa"/>
            <w:tcBorders>
              <w:top w:val="single" w:sz="4" w:space="0" w:color="auto"/>
              <w:left w:val="nil"/>
              <w:bottom w:val="nil"/>
              <w:right w:val="nil"/>
            </w:tcBorders>
          </w:tcPr>
          <w:p w:rsidR="001B6759" w:rsidRPr="00EC12BC" w:rsidRDefault="001B6759" w:rsidP="00BB162B">
            <w:pPr>
              <w:spacing w:line="360" w:lineRule="auto"/>
              <w:jc w:val="center"/>
              <w:rPr>
                <w:b/>
                <w:bCs/>
                <w:rtl/>
              </w:rPr>
            </w:pPr>
            <w:r>
              <w:rPr>
                <w:rFonts w:hint="cs"/>
                <w:b/>
                <w:bCs/>
                <w:rtl/>
              </w:rPr>
              <w:t>א. נאמן, שופט</w:t>
            </w:r>
          </w:p>
        </w:tc>
      </w:tr>
    </w:tbl>
    <w:p w:rsidR="00694556" w:rsidRDefault="00BD6531" w:rsidP="001B6759">
      <w:pPr>
        <w:tabs>
          <w:tab w:val="left" w:pos="2553"/>
        </w:tabs>
        <w:rPr>
          <w:rFonts w:ascii="Arial" w:hAnsi="Arial"/>
          <w:noProof w:val="0"/>
          <w:rtl/>
        </w:rPr>
      </w:pPr>
      <w:r>
        <w:rPr>
          <w:rFonts w:hint="cs"/>
          <w:rtl/>
        </w:rPr>
        <w:tab/>
      </w:r>
      <w:r>
        <w:rPr>
          <w:rFonts w:hint="cs"/>
          <w:rtl/>
        </w:rPr>
        <w:tab/>
      </w:r>
      <w:r>
        <w:rPr>
          <w:rFonts w:hint="cs"/>
          <w:rtl/>
        </w:rPr>
        <w:tab/>
        <w:t xml:space="preserve">        </w:t>
      </w:r>
    </w:p>
    <w:sectPr w:rsidR="00694556" w:rsidSect="009A3EDE">
      <w:headerReference w:type="even" r:id="rId14"/>
      <w:headerReference w:type="default" r:id="rId15"/>
      <w:footerReference w:type="even" r:id="rId16"/>
      <w:footerReference w:type="default" r:id="rId17"/>
      <w:headerReference w:type="first" r:id="rId18"/>
      <w:footerReference w:type="first" r:id="rId19"/>
      <w:pgSz w:w="11907" w:h="16840" w:code="9"/>
      <w:pgMar w:top="1440" w:right="850" w:bottom="1440" w:left="1276"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3AD" w:rsidRDefault="007833AD">
      <w:r>
        <w:separator/>
      </w:r>
    </w:p>
  </w:endnote>
  <w:endnote w:type="continuationSeparator" w:id="0">
    <w:p w:rsidR="007833AD" w:rsidRDefault="00783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990" w:rsidRDefault="0012199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011D8E">
      <w:rPr>
        <w:rStyle w:val="ab"/>
        <w:rFonts w:ascii="David" w:hAnsi="David"/>
        <w:rtl/>
      </w:rPr>
      <w:t>27</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011D8E">
      <w:rPr>
        <w:rStyle w:val="ab"/>
        <w:rFonts w:ascii="David" w:hAnsi="David"/>
        <w:rtl/>
      </w:rPr>
      <w:t>27</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990" w:rsidRDefault="0012199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3AD" w:rsidRDefault="007833AD">
      <w:r>
        <w:separator/>
      </w:r>
    </w:p>
  </w:footnote>
  <w:footnote w:type="continuationSeparator" w:id="0">
    <w:p w:rsidR="007833AD" w:rsidRDefault="00783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990" w:rsidRDefault="0012199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9A3EDE" w:rsidRDefault="007833AD" w:rsidP="00A466CC">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עמ"ש</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45865-05-24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A466CC">
                <w:rPr>
                  <w:rFonts w:hint="cs"/>
                  <w:b/>
                  <w:bCs/>
                  <w:noProof w:val="0"/>
                  <w:sz w:val="26"/>
                  <w:szCs w:val="26"/>
                  <w:rtl/>
                </w:rPr>
                <w:t>ר'</w:t>
              </w:r>
              <w:r w:rsidR="00424313">
                <w:rPr>
                  <w:b/>
                  <w:bCs/>
                  <w:noProof w:val="0"/>
                  <w:sz w:val="26"/>
                  <w:szCs w:val="26"/>
                  <w:rtl/>
                </w:rPr>
                <w:t xml:space="preserve"> נ' </w:t>
              </w:r>
              <w:r w:rsidR="00A466CC">
                <w:rPr>
                  <w:rFonts w:hint="cs"/>
                  <w:b/>
                  <w:bCs/>
                  <w:noProof w:val="0"/>
                  <w:sz w:val="26"/>
                  <w:szCs w:val="26"/>
                  <w:rtl/>
                </w:rPr>
                <w:t>ס'</w:t>
              </w:r>
            </w:sdtContent>
          </w:sdt>
          <w:r w:rsidR="007C2453">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990" w:rsidRDefault="0012199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52B5B"/>
    <w:multiLevelType w:val="hybridMultilevel"/>
    <w:tmpl w:val="F71A4F76"/>
    <w:lvl w:ilvl="0" w:tplc="523410D4">
      <w:start w:val="1"/>
      <w:numFmt w:val="hebrew1"/>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BE24A12"/>
    <w:multiLevelType w:val="hybridMultilevel"/>
    <w:tmpl w:val="F086DF88"/>
    <w:lvl w:ilvl="0" w:tplc="DCBA806A">
      <w:start w:val="1"/>
      <w:numFmt w:val="hebrew1"/>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F24365E"/>
    <w:multiLevelType w:val="hybridMultilevel"/>
    <w:tmpl w:val="5D2856DE"/>
    <w:lvl w:ilvl="0" w:tplc="1D4C4B8E">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22A05"/>
    <w:multiLevelType w:val="hybridMultilevel"/>
    <w:tmpl w:val="B922BEA0"/>
    <w:lvl w:ilvl="0" w:tplc="6F1ACEB6">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3833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38335&amp;lt;/CaseID&amp;gt;_x000d__x000a_        &amp;lt;CaseMonth&amp;gt;5&amp;lt;/CaseMonth&amp;gt;_x000d__x000a_        &amp;lt;CaseYear&amp;gt;2024&amp;lt;/CaseYear&amp;gt;_x000d__x000a_        &amp;lt;CaseNumber&amp;gt;45865&amp;lt;/CaseNumber&amp;gt;_x000d__x000a_        &amp;lt;NumeratorGroupID&amp;gt;1&amp;lt;/NumeratorGroupID&amp;gt;_x000d__x000a_        &amp;lt;CaseName&amp;gt;רודל נ&amp;#39; סרצקי&amp;lt;/CaseName&amp;gt;_x000d__x000a_        &amp;lt;CourtID&amp;gt;13&amp;lt;/CourtID&amp;gt;_x000d__x000a_        &amp;lt;CaseTypeID&amp;gt;63&amp;lt;/CaseTypeID&amp;gt;_x000d__x000a_        &amp;lt;CaseInterestID&amp;gt;10514&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5865-05-24&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4-05-19T16:08:00+03:00&amp;lt;/CaseOpenDate&amp;gt;_x000d__x000a_        &amp;lt;PleaTypeID&amp;gt;6&amp;lt;/PleaTypeID&amp;gt;_x000d__x000a_        &amp;lt;CourtLevelID&amp;gt;2&amp;lt;/CourtLevelID&amp;gt;_x000d__x000a_        &amp;lt;CourtLevelCaseTypeInterestID&amp;gt;1763&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דיון ב-28.10&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38335&amp;lt;/CaseID&amp;gt;_x000d__x000a_        &amp;lt;CaseMonth&amp;gt;5&amp;lt;/CaseMonth&amp;gt;_x000d__x000a_        &amp;lt;CaseYear&amp;gt;2024&amp;lt;/CaseYear&amp;gt;_x000d__x000a_        &amp;lt;CaseNumber&amp;gt;45865&amp;lt;/CaseNumber&amp;gt;_x000d__x000a_        &amp;lt;NumeratorGroupID&amp;gt;1&amp;lt;/NumeratorGroupID&amp;gt;_x000d__x000a_        &amp;lt;CaseName&amp;gt;רודל נ&amp;#39; סרצקי&amp;lt;/CaseName&amp;gt;_x000d__x000a_        &amp;lt;CourtID&amp;gt;13&amp;lt;/CourtID&amp;gt;_x000d__x000a_        &amp;lt;CaseTypeID&amp;gt;63&amp;lt;/CaseTypeID&amp;gt;_x000d__x000a_        &amp;lt;CaseInterestID&amp;gt;10514&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5865-05-24&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CaseNextDeterminingTask&amp;gt;34&amp;lt;/CaseNextDeterminingTask&amp;gt;_x000d__x000a_        &amp;lt;CaseOpenDate&amp;gt;2024-05-19T16:08:00+03:00&amp;lt;/CaseOpenDate&amp;gt;_x000d__x000a_        &amp;lt;PleaTypeID&amp;gt;6&amp;lt;/PleaTypeID&amp;gt;_x000d__x000a_        &amp;lt;CourtLevelID&amp;gt;2&amp;lt;/CourtLevelID&amp;gt;_x000d__x000a_        &amp;lt;CourtLevelCaseTypeInterestID&amp;gt;1763&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דיון ב-28.10&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043037&amp;lt;/DecisionID&amp;gt;_x000d__x000a_        &amp;lt;DecisionName&amp;gt;פסק דין  שניתנה ע&amp;quot;י  חננאל שרעבי&amp;lt;/DecisionName&amp;gt;_x000d__x000a_        &amp;lt;DecisionStatusID&amp;gt;1&amp;lt;/DecisionStatusID&amp;gt;_x000d__x000a_        &amp;lt;DecisionStatusChangeDate&amp;gt;2024-11-14T08:50:56.637+02:00&amp;lt;/DecisionStatusChangeDate&amp;gt;_x000d__x000a_        &amp;lt;DecisionSignatureDate&amp;gt;2024-11-14T08:13:36.657+02:00&amp;lt;/DecisionSignatureDate&amp;gt;_x000d__x000a_        &amp;lt;DecisionSignatureUserID&amp;gt;056479827@GOV.IL&amp;lt;/DecisionSignatureUserID&amp;gt;_x000d__x000a_        &amp;lt;DecisionCreateDate&amp;gt;2024-11-14T08:43:31.593+02:00&amp;lt;/DecisionCreateDate&amp;gt;_x000d__x000a_        &amp;lt;DecisionChangeDate&amp;gt;2024-11-14T08:50:56.73+02: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6057967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פסק דין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56043037&amp;lt;/DecisionID&amp;gt;_x000d__x000a_        &amp;lt;CaseID&amp;gt;81238335&amp;lt;/CaseID&amp;gt;_x000d__x000a_        &amp;lt;IsOriginal&amp;gt;true&amp;lt;/IsOriginal&amp;gt;_x000d__x000a_        &amp;lt;IsDeleted&amp;gt;false&amp;lt;/IsDeleted&amp;gt;_x000d__x000a_        &amp;lt;CaseName&amp;gt;רודל נ&amp;#39; סרצקי&amp;lt;/CaseName&amp;gt;_x000d__x000a_        &amp;lt;CaseDisplayIdentifier&amp;gt;45865-05-24 עמ&amp;quot;ש&amp;lt;/CaseDisplayIdentifier&amp;gt;_x000d__x000a_      &amp;lt;/dt_DecisionCase&amp;gt;_x000d__x000a_      &amp;lt;dt_DecisionJudgePanel diffgr:id=&amp;quot;dt_DecisionJudgePanel1&amp;quot; msdata:rowOrder=&amp;quot;0&amp;quot;&amp;gt;_x000d__x000a_        &amp;lt;DecisionID&amp;gt;156043037&amp;lt;/DecisionID&amp;gt;_x000d__x000a_        &amp;lt;JudgeID&amp;gt;056479827@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6043037&amp;lt;/DecisionID&amp;gt;_x000d__x000a_        &amp;lt;JudgeID&amp;gt;057955775@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6043037&amp;lt;/DecisionID&amp;gt;_x000d__x000a_        &amp;lt;JudgeID&amp;gt;058677980@GOV.IL&amp;lt;/JudgeID&amp;gt;_x000d__x000a_        &amp;lt;OrdinalNumber&amp;gt;3&amp;lt;/OrdinalNumber&amp;gt;_x000d__x000a_      &amp;lt;/dt_DecisionJudgePanel&amp;gt;_x000d__x000a_    &amp;lt;/DecisionDS&amp;gt;_x000d__x000a_  &amp;lt;/diffgr:diffgram&amp;gt;_x000d__x000a_&amp;lt;/DecisionDS&amp;gt;"/>
    <w:docVar w:name="DecisionID" w:val="156043037"/>
    <w:docVar w:name="docID" w:val="460579673"/>
    <w:docVar w:name="judgeUPN" w:val="056479827@GOV.IL"/>
    <w:docVar w:name="NGCS.TemplateCaseInterestID" w:val="10514"/>
    <w:docVar w:name="NGCS.TemplateCaseTypeID" w:val="63"/>
    <w:docVar w:name="NGCS.TemplateCourtID" w:val="13"/>
    <w:docVar w:name="NGCS.TemplateProceedingID" w:val="14"/>
    <w:docVar w:name="noteDocID" w:val="460579673"/>
    <w:docVar w:name="WordClientAssemblyName" w:val="NGCS.Decision.ClientWordBL"/>
    <w:docVar w:name="WordClientClassName" w:val="NGCS.Decision.ClientWordBL.JudgePanelSignDecisionClient"/>
  </w:docVars>
  <w:rsids>
    <w:rsidRoot w:val="00694556"/>
    <w:rsid w:val="00000062"/>
    <w:rsid w:val="0000226B"/>
    <w:rsid w:val="00005C8B"/>
    <w:rsid w:val="00011D8E"/>
    <w:rsid w:val="00035CA5"/>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1990"/>
    <w:rsid w:val="00122A9F"/>
    <w:rsid w:val="001367BC"/>
    <w:rsid w:val="00144D2A"/>
    <w:rsid w:val="0014653E"/>
    <w:rsid w:val="00180519"/>
    <w:rsid w:val="00191C82"/>
    <w:rsid w:val="001B0F92"/>
    <w:rsid w:val="001B6759"/>
    <w:rsid w:val="001C4003"/>
    <w:rsid w:val="001D4DBF"/>
    <w:rsid w:val="001E1774"/>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877EC"/>
    <w:rsid w:val="004C17EE"/>
    <w:rsid w:val="004C3D53"/>
    <w:rsid w:val="004C4BDF"/>
    <w:rsid w:val="004D1187"/>
    <w:rsid w:val="004D3AA0"/>
    <w:rsid w:val="004E1987"/>
    <w:rsid w:val="004E20DD"/>
    <w:rsid w:val="004E2E15"/>
    <w:rsid w:val="004E6E3C"/>
    <w:rsid w:val="00520898"/>
    <w:rsid w:val="00523621"/>
    <w:rsid w:val="00524986"/>
    <w:rsid w:val="005268F6"/>
    <w:rsid w:val="00534284"/>
    <w:rsid w:val="0054140F"/>
    <w:rsid w:val="00547DB7"/>
    <w:rsid w:val="00557717"/>
    <w:rsid w:val="00576A86"/>
    <w:rsid w:val="005E2EAC"/>
    <w:rsid w:val="005E7E3A"/>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833AD"/>
    <w:rsid w:val="00795365"/>
    <w:rsid w:val="007A351D"/>
    <w:rsid w:val="007B7765"/>
    <w:rsid w:val="007C2453"/>
    <w:rsid w:val="007C5BDD"/>
    <w:rsid w:val="007D45E3"/>
    <w:rsid w:val="007E6115"/>
    <w:rsid w:val="007F4609"/>
    <w:rsid w:val="00805EFF"/>
    <w:rsid w:val="00814468"/>
    <w:rsid w:val="008176A1"/>
    <w:rsid w:val="00820005"/>
    <w:rsid w:val="00820F03"/>
    <w:rsid w:val="00844318"/>
    <w:rsid w:val="00850422"/>
    <w:rsid w:val="00860102"/>
    <w:rsid w:val="00863F5D"/>
    <w:rsid w:val="00870890"/>
    <w:rsid w:val="008726F6"/>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A3EDE"/>
    <w:rsid w:val="009C606B"/>
    <w:rsid w:val="009D1A48"/>
    <w:rsid w:val="009E1CE7"/>
    <w:rsid w:val="009E461A"/>
    <w:rsid w:val="009E4EA5"/>
    <w:rsid w:val="009F164B"/>
    <w:rsid w:val="009F323C"/>
    <w:rsid w:val="00A3392B"/>
    <w:rsid w:val="00A466CC"/>
    <w:rsid w:val="00A46717"/>
    <w:rsid w:val="00A6744A"/>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061F7"/>
    <w:rsid w:val="00C154C5"/>
    <w:rsid w:val="00C22D93"/>
    <w:rsid w:val="00C23458"/>
    <w:rsid w:val="00C23AC9"/>
    <w:rsid w:val="00C31120"/>
    <w:rsid w:val="00C34482"/>
    <w:rsid w:val="00C43648"/>
    <w:rsid w:val="00C50A9F"/>
    <w:rsid w:val="00C642FA"/>
    <w:rsid w:val="00C770E3"/>
    <w:rsid w:val="00CC7622"/>
    <w:rsid w:val="00CD608F"/>
    <w:rsid w:val="00CF6BB7"/>
    <w:rsid w:val="00D04AA4"/>
    <w:rsid w:val="00D0669F"/>
    <w:rsid w:val="00D27982"/>
    <w:rsid w:val="00D33B86"/>
    <w:rsid w:val="00D44968"/>
    <w:rsid w:val="00D53924"/>
    <w:rsid w:val="00D55D0C"/>
    <w:rsid w:val="00D61D0F"/>
    <w:rsid w:val="00D90BC5"/>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9A3EDE"/>
    <w:pPr>
      <w:spacing w:after="160" w:line="259"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07/relationships/hdphoto" Target="media/hdphoto1.wdp"/><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E6E243A18A49D3BE316F685E647A4D"/>
        <w:category>
          <w:name w:val="כללי"/>
          <w:gallery w:val="placeholder"/>
        </w:category>
        <w:types>
          <w:type w:val="bbPlcHdr"/>
        </w:types>
        <w:behaviors>
          <w:behavior w:val="content"/>
        </w:behaviors>
        <w:guid w:val="{985CCAD3-D905-43C0-9D84-546A3DDA59D3}"/>
      </w:docPartPr>
      <w:docPartBody>
        <w:p w:rsidR="009133C7" w:rsidRDefault="00AA7CE3">
          <w:r w:rsidRPr="00D47A1C">
            <w:rPr>
              <w:rStyle w:val="a3"/>
              <w:rtl/>
            </w:rPr>
            <w:t>לחץ כאן להזנת טקסט</w:t>
          </w:r>
          <w:r w:rsidRPr="00D47A1C">
            <w:rPr>
              <w:rStyle w:val="a3"/>
            </w:rPr>
            <w:t>.</w:t>
          </w:r>
        </w:p>
      </w:docPartBody>
    </w:docPart>
    <w:docPart>
      <w:docPartPr>
        <w:name w:val="267A64F88E2544C8ACEF473322C98C1A"/>
        <w:category>
          <w:name w:val="כללי"/>
          <w:gallery w:val="placeholder"/>
        </w:category>
        <w:types>
          <w:type w:val="bbPlcHdr"/>
        </w:types>
        <w:behaviors>
          <w:behavior w:val="content"/>
        </w:behaviors>
        <w:guid w:val="{492D2BC5-9F61-4435-88B5-957873026621}"/>
      </w:docPartPr>
      <w:docPartBody>
        <w:p w:rsidR="007E254A" w:rsidRDefault="006377AB" w:rsidP="006377AB">
          <w:pPr>
            <w:pStyle w:val="E6E6A917CC5E4519A8F2E864C48E22F215"/>
          </w:pPr>
          <w:r w:rsidRPr="00CD608F">
            <w:rPr>
              <w:rFonts w:hint="eastAsia"/>
              <w:b/>
              <w:bCs/>
              <w:sz w:val="26"/>
              <w:szCs w:val="26"/>
              <w:rtl/>
            </w:rPr>
            <w:t>בעניין</w:t>
          </w:r>
          <w:r w:rsidRPr="00CD608F">
            <w:rPr>
              <w:b/>
              <w:bCs/>
              <w:sz w:val="26"/>
              <w:szCs w:val="26"/>
              <w:rtl/>
            </w:rPr>
            <w:t xml:space="preserve"> שם פרטי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0402C5" w:rsidRDefault="007738DB">
          <w:pPr>
            <w:pStyle w:val="A9C5D86CC7DC4155BCE1075DA1251601"/>
          </w:pPr>
          <w:r>
            <w:rPr>
              <w:b/>
              <w:bCs/>
              <w:rtl/>
            </w:rPr>
            <w:t>סוג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402C5"/>
    <w:rsid w:val="000A4ACE"/>
    <w:rsid w:val="001D696D"/>
    <w:rsid w:val="002C0603"/>
    <w:rsid w:val="002D02C4"/>
    <w:rsid w:val="00345C9D"/>
    <w:rsid w:val="00470A99"/>
    <w:rsid w:val="0048651F"/>
    <w:rsid w:val="005157ED"/>
    <w:rsid w:val="005171E8"/>
    <w:rsid w:val="00556D67"/>
    <w:rsid w:val="006377AB"/>
    <w:rsid w:val="007738D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CE6E243A18A49D3BE316F685E647A4D">
    <w:name w:val="4CE6E243A18A49D3BE316F685E647A4D"/>
    <w:pPr>
      <w:bidi/>
    </w:pPr>
  </w:style>
  <w:style w:type="paragraph" w:customStyle="1" w:styleId="9E63545C67494E1B9B44A6B60326ACB6">
    <w:name w:val="9E63545C67494E1B9B44A6B60326ACB6"/>
    <w:pPr>
      <w:bidi/>
    </w:pPr>
  </w:style>
  <w:style w:type="paragraph" w:customStyle="1" w:styleId="A9C5D86CC7DC4155BCE1075DA1251601">
    <w:name w:val="A9C5D86CC7DC4155BCE1075DA1251601"/>
    <w:pPr>
      <w:bidi/>
    </w:pPr>
  </w:style>
  <w:style w:type="paragraph" w:customStyle="1" w:styleId="66759881CDB248D3BF5B665C93DB818E">
    <w:name w:val="66759881CDB248D3BF5B665C93DB818E"/>
    <w:pPr>
      <w:bidi/>
    </w:pPr>
  </w:style>
  <w:style w:type="paragraph" w:customStyle="1" w:styleId="267A64F88E2544C8ACEF473322C98C1A">
    <w:name w:val="267A64F88E2544C8ACEF473322C98C1A"/>
    <w:pPr>
      <w:bidi/>
    </w:pPr>
  </w:style>
  <w:style w:type="paragraph" w:customStyle="1" w:styleId="98A5B2778E6548A1A8F536A2C03AE1E8">
    <w:name w:val="98A5B2778E6548A1A8F536A2C03AE1E8"/>
    <w:pPr>
      <w:bidi/>
    </w:pPr>
  </w:style>
  <w:style w:type="paragraph" w:customStyle="1" w:styleId="0A53FD1264DA471CAA6E2DD1CCC40134">
    <w:name w:val="0A53FD1264DA471CAA6E2DD1CCC40134"/>
    <w:pPr>
      <w:bidi/>
    </w:pPr>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81238335</CaseID>
    <CaseJudicialPersonPresentationDS>
      <CaseJudicalPersonActive>
        <CaseID>81238335</CaseID>
        <JudicialPersonID>056479827@GOV.IL</JudicialPersonID>
        <JudicialPersonTypeID>1</JudicialPersonTypeID>
        <JudicialTypeID>3</JudicialTypeID>
        <IsChairman>true</IsChairman>
        <TreatmentStartDate>2024-05-21T14:33:50.357+03:00</TreatmentStartDate>
        <TreatmentFinishDate>9999-12-31T23:59:59.997+02:00</TreatmentFinishDate>
        <IdentificationCardNumber>056479827</IdentificationCardNumber>
        <DisplayName>חננאל שרעבי</DisplayName>
        <JudicialTypeName>הרכב שופטים</JudicialTypeName>
        <CaseJudicialGroupNumber>580672</CaseJudicialGroupNumber>
        <FirstName>חננאל</FirstName>
        <LastName>שרעבי</LastName>
        <JudicialPersonTitle>שופט</JudicialPersonTitle>
      </CaseJudicalPersonActive>
      <CaseJudicalPersonActive>
        <CaseID>81238335</CaseID>
        <JudicialPersonID>057955775@GOV.IL</JudicialPersonID>
        <JudicialPersonTypeID>1</JudicialPersonTypeID>
        <JudicialTypeID>3</JudicialTypeID>
        <IsChairman>false</IsChairman>
        <TreatmentStartDate>2024-05-21T14:33:50.357+03:00</TreatmentStartDate>
        <TreatmentFinishDate>9999-12-31T23:59:59.997+02:00</TreatmentFinishDate>
        <IdentificationCardNumber>057955775</IdentificationCardNumber>
        <DisplayName>אספרנצה אלון</DisplayName>
        <JudicialTypeName>הרכב שופטים</JudicialTypeName>
        <CaseJudicialGroupNumber>580672</CaseJudicialGroupNumber>
        <FirstName>אספרנצה</FirstName>
        <LastName>אלון</LastName>
        <JudicialPersonTitle>שופט</JudicialPersonTitle>
      </CaseJudicalPersonActive>
      <CaseJudicalPersonActive>
        <CaseID>81238335</CaseID>
        <JudicialPersonID>058677980@GOV.IL</JudicialPersonID>
        <JudicialPersonTypeID>1</JudicialPersonTypeID>
        <JudicialTypeID>3</JudicialTypeID>
        <IsChairman>false</IsChairman>
        <TreatmentStartDate>2024-05-21T14:33:50.357+03:00</TreatmentStartDate>
        <TreatmentFinishDate>9999-12-31T23:59:59.997+02:00</TreatmentFinishDate>
        <IdentificationCardNumber>058677980</IdentificationCardNumber>
        <DisplayName>אריה נאמן</DisplayName>
        <JudicialTypeName>הרכב שופטים</JudicialTypeName>
        <CaseJudicialGroupNumber>580672</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מקסים ליפקין</FullName>
        <FirstName>מקסים</FirstName>
        <LastName>ליפקין</LastName>
        <PartyPropertyName/>
        <AuthenticationTypeAndNumber>מ.ר. 24518</AuthenticationTypeAndNumber>
        <RepresentatedOrRepresentativesNames>לריסה סרצקי</RepresentatedOrRepresentativesNames>
        <RepresentatedOrRepresentativesCount>1</RepresentatedOrRepresentativesCount>
        <InvitedBy/>
        <CaseID>81238335</CaseID>
        <CaseJudicialPersonPresentationDS>
          <CaseJudicalPersonActive>
            <CaseID>81238335</CaseID>
            <JudicialPersonID>056479827@GOV.IL</JudicialPersonID>
            <JudicialPersonTypeID>1</JudicialPersonTypeID>
            <JudicialTypeID>3</JudicialTypeID>
            <IsChairman>true</IsChairman>
            <TreatmentStartDate>2024-05-21T14:33:50.357+03:00</TreatmentStartDate>
            <TreatmentFinishDate>9999-12-31T23:59:59.997+02:00</TreatmentFinishDate>
            <IdentificationCardNumber>056479827</IdentificationCardNumber>
            <DisplayName>חננאל שרעבי</DisplayName>
            <JudicialTypeName>הרכב שופטים</JudicialTypeName>
            <CaseJudicialGroupNumber>580672</CaseJudicialGroupNumber>
            <FirstName>חננאל</FirstName>
            <LastName>שרעבי</LastName>
            <JudicialPersonTitle>שופט</JudicialPersonTitle>
          </CaseJudicalPersonActive>
          <CaseJudicalPersonActive>
            <CaseID>81238335</CaseID>
            <JudicialPersonID>057955775@GOV.IL</JudicialPersonID>
            <JudicialPersonTypeID>1</JudicialPersonTypeID>
            <JudicialTypeID>3</JudicialTypeID>
            <IsChairman>false</IsChairman>
            <TreatmentStartDate>2024-05-21T14:33:50.357+03:00</TreatmentStartDate>
            <TreatmentFinishDate>9999-12-31T23:59:59.997+02:00</TreatmentFinishDate>
            <IdentificationCardNumber>057955775</IdentificationCardNumber>
            <DisplayName>אספרנצה אלון</DisplayName>
            <JudicialTypeName>הרכב שופטים</JudicialTypeName>
            <CaseJudicialGroupNumber>580672</CaseJudicialGroupNumber>
            <FirstName>אספרנצה</FirstName>
            <LastName>אלון</LastName>
            <JudicialPersonTitle>שופט</JudicialPersonTitle>
          </CaseJudicalPersonActive>
          <CaseJudicalPersonActive>
            <CaseID>81238335</CaseID>
            <JudicialPersonID>058677980@GOV.IL</JudicialPersonID>
            <JudicialPersonTypeID>1</JudicialPersonTypeID>
            <JudicialTypeID>3</JudicialTypeID>
            <IsChairman>false</IsChairman>
            <TreatmentStartDate>2024-05-21T14:33:50.357+03:00</TreatmentStartDate>
            <TreatmentFinishDate>9999-12-31T23:59:59.997+02:00</TreatmentFinishDate>
            <IdentificationCardNumber>058677980</IdentificationCardNumber>
            <DisplayName>אריה נאמן</DisplayName>
            <JudicialTypeName>הרכב שופטים</JudicialTypeName>
            <CaseJudicialGroupNumber>580672</CaseJudicialGroupNumber>
            <FirstName>אריה</FirstName>
            <LastName>נאמן</LastName>
            <JudicialPersonTitle>שופט</JudicialPersonTitle>
          </CaseJudicalPersonActive>
        </CaseJudicialPersonPresentationDS>
        <CasePartyID>271064541</CasePartyID>
        <PartyTypeID>2</PartyTypeID>
        <ActivityStatusID>1</ActivityStatusID>
        <PartyAliasID>23</PartyAliasID>
        <PartyAliasName>בא כוח משיבים</PartyAliasName>
        <LegalEntityID>385014</LegalEntityID>
        <CaseLegalEntityID>129150801</CaseLegalEntityID>
        <AuthenticationTypeID>4</AuthenticationTypeID>
        <AuthenticationTypeName>מ.ר.</AuthenticationTypeName>
        <LegalEntityNumber>24518</LegalEntityNumber>
        <IsMainPartyType>true</IsMainPartyType>
        <CaseDisplayIdentifier>45865-05-24</CaseDisplayIdentifier>
        <CaseTypeID>63</CaseTypeID>
        <CaseTypeName>ערעור משפחה (עמ"ש)</CaseTypeName>
        <CaseName>רודל נ' סרצקי</CaseName>
        <FullAddress>דיזינגוף 50 תל אביב -יפו קומה 21</FullAddress>
        <EmailAddress>lipkin.lipkin1@gmail.com</EmailAddress>
        <MotionID>0</MotionID>
        <CasePleaID>0</CasePleaID>
        <FatherName xml:space="preserve">        </FatherName>
        <LinkedCaseID>0</LinkedCaseID>
        <PartyID>2</PartyID>
        <CasePartyCategoryID>2</CasePartyCategoryID>
        <LegalEntityAddressID>79954161</LegalEntityAddressID>
        <LegalEntityEmailAddressID>68077548</LegalEntityEmailAddressID>
        <PleaTypeID>6</PleaTypeID>
        <LawyerOfficeName>משרד עו"ד:ליפקין את ליפקין</LawyerOfficeName>
        <LawyerOfficeID>448455</LawyerOfficeID>
        <GroupPartyAlias/>
        <IsConverted>false</IsConverted>
        <LegalEntityNameID>5998</LegalEntityNameID>
        <RepresentatedNamesOfAssistant/>
        <LegalEntityTypeID>4</LegalEntityTypeID>
        <IsVerdictExists>false</IsVerdictExists>
        <IsAsirAzir>false</IsAsirAzir>
        <MainAndSecSpec/>
        <IsPublicationProhibited>false</IsPublicationProhibited>
        <PublicationProhibitedFullName>מקסים ליפקין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מירב כהן</FullName>
        <FirstName>מירב</FirstName>
        <LastName>כהן</LastName>
        <PartyPropertyName/>
        <AuthenticationTypeAndNumber>מ.ר. 31310</AuthenticationTypeAndNumber>
        <RepresentatedOrRepresentativesNames>בוריס רודל</RepresentatedOrRepresentativesNames>
        <RepresentatedOrRepresentativesCount>1</RepresentatedOrRepresentativesCount>
        <InvitedBy/>
        <CaseID>81238335</CaseID>
        <CaseJudicialPersonPresentationDS>
          <CaseJudicalPersonActive>
            <CaseID>81238335</CaseID>
            <JudicialPersonID>056479827@GOV.IL</JudicialPersonID>
            <JudicialPersonTypeID>1</JudicialPersonTypeID>
            <JudicialTypeID>3</JudicialTypeID>
            <IsChairman>true</IsChairman>
            <TreatmentStartDate>2024-05-21T14:33:50.357+03:00</TreatmentStartDate>
            <TreatmentFinishDate>9999-12-31T23:59:59.997+02:00</TreatmentFinishDate>
            <IdentificationCardNumber>056479827</IdentificationCardNumber>
            <DisplayName>חננאל שרעבי</DisplayName>
            <JudicialTypeName>הרכב שופטים</JudicialTypeName>
            <CaseJudicialGroupNumber>580672</CaseJudicialGroupNumber>
            <FirstName>חננאל</FirstName>
            <LastName>שרעבי</LastName>
            <JudicialPersonTitle>שופט</JudicialPersonTitle>
          </CaseJudicalPersonActive>
          <CaseJudicalPersonActive>
            <CaseID>81238335</CaseID>
            <JudicialPersonID>057955775@GOV.IL</JudicialPersonID>
            <JudicialPersonTypeID>1</JudicialPersonTypeID>
            <JudicialTypeID>3</JudicialTypeID>
            <IsChairman>false</IsChairman>
            <TreatmentStartDate>2024-05-21T14:33:50.357+03:00</TreatmentStartDate>
            <TreatmentFinishDate>9999-12-31T23:59:59.997+02:00</TreatmentFinishDate>
            <IdentificationCardNumber>057955775</IdentificationCardNumber>
            <DisplayName>אספרנצה אלון</DisplayName>
            <JudicialTypeName>הרכב שופטים</JudicialTypeName>
            <CaseJudicialGroupNumber>580672</CaseJudicialGroupNumber>
            <FirstName>אספרנצה</FirstName>
            <LastName>אלון</LastName>
            <JudicialPersonTitle>שופט</JudicialPersonTitle>
          </CaseJudicalPersonActive>
          <CaseJudicalPersonActive>
            <CaseID>81238335</CaseID>
            <JudicialPersonID>058677980@GOV.IL</JudicialPersonID>
            <JudicialPersonTypeID>1</JudicialPersonTypeID>
            <JudicialTypeID>3</JudicialTypeID>
            <IsChairman>false</IsChairman>
            <TreatmentStartDate>2024-05-21T14:33:50.357+03:00</TreatmentStartDate>
            <TreatmentFinishDate>9999-12-31T23:59:59.997+02:00</TreatmentFinishDate>
            <IdentificationCardNumber>058677980</IdentificationCardNumber>
            <DisplayName>אריה נאמן</DisplayName>
            <JudicialTypeName>הרכב שופטים</JudicialTypeName>
            <CaseJudicialGroupNumber>580672</CaseJudicialGroupNumber>
            <FirstName>אריה</FirstName>
            <LastName>נאמן</LastName>
            <JudicialPersonTitle>שופט</JudicialPersonTitle>
          </CaseJudicalPersonActive>
        </CaseJudicialPersonPresentationDS>
        <CasePartyID>270320369</CasePartyID>
        <PartyTypeID>2</PartyTypeID>
        <ActivityStatusID>1</ActivityStatusID>
        <PartyAliasID>24</PartyAliasID>
        <PartyAliasName>בא כוח מערערים</PartyAliasName>
        <OrdinalNumber>1</OrdinalNumber>
        <LegalEntityID>408887</LegalEntityID>
        <CaseLegalEntityID>128927322</CaseLegalEntityID>
        <AuthenticationTypeID>4</AuthenticationTypeID>
        <AuthenticationTypeName>מ.ר.</AuthenticationTypeName>
        <LegalEntityNumber>31310</LegalEntityNumber>
        <IsMainPartyType>true</IsMainPartyType>
        <CaseDisplayIdentifier>45865-05-24</CaseDisplayIdentifier>
        <CaseTypeID>63</CaseTypeID>
        <CaseTypeName>ערעור משפחה (עמ"ש)</CaseTypeName>
        <CaseName>רודל נ' סרצקי</CaseName>
        <FullAddress>דרך עכו 14 קריית ביאליק </FullAddress>
        <MotionID>0</MotionID>
        <CasePleaID>0</CasePleaID>
        <LinkedCaseID>0</LinkedCaseID>
        <PartyID>1</PartyID>
        <CasePartyCategoryID>2</CasePartyCategoryID>
        <LegalEntityAddressID>451869</LegalEntityAddressID>
        <PleaTypeID>6</PleaTypeID>
        <LawyerOfficeName>משרד עו"ד: מירב כהן</LawyerOfficeName>
        <LawyerOfficeID>449531</LawyerOfficeID>
        <GroupPartyAlias/>
        <IsConverted>false</IsConverted>
        <LegalEntityNameID>29871</LegalEntityNameID>
        <RepresentatedNamesOfAssistant/>
        <LegalEntityTypeID>4</LegalEntityTypeID>
        <IsVerdictExists>false</IsVerdictExists>
        <IsAsirAzir>false</IsAsirAzir>
        <MainAndSecSpec/>
        <IsPublicationProhibited>false</IsPublicationProhibited>
        <PublicationProhibitedFullName>מירב כהן</PublicationProhibitedFullName>
      </CaseParties>
      <CaseParties>
        <PartyTypeName>צד</PartyTypeName>
        <ProceedingType>כתב טענות עיקרי</ProceedingType>
        <PleaName>הודעת ערעור</PleaName>
        <PartyBelonging>צד א'</PartyBelonging>
        <RoleName>מערער 1 - נתבע</RoleName>
        <IsSubProceeding>FALSE</IsSubProceeding>
        <FullName>בוריס רודל</FullName>
        <FirstName>בוריס</FirstName>
        <LastName>רודל</LastName>
        <PartyPropertyName/>
        <AuthenticationTypeAndNumber>ת"ז 304316706</AuthenticationTypeAndNumber>
        <RepresentatedOrRepresentativesNames>מירב כהן</RepresentatedOrRepresentativesNames>
        <RepresentatedOrRepresentativesCount>1</RepresentatedOrRepresentativesCount>
        <InvitedBy/>
        <CaseID>81238335</CaseID>
        <CaseJudicialPersonPresentationDS>
          <CaseJudicalPersonActive>
            <CaseID>81238335</CaseID>
            <JudicialPersonID>056479827@GOV.IL</JudicialPersonID>
            <JudicialPersonTypeID>1</JudicialPersonTypeID>
            <JudicialTypeID>3</JudicialTypeID>
            <IsChairman>true</IsChairman>
            <TreatmentStartDate>2024-05-21T14:33:50.357+03:00</TreatmentStartDate>
            <TreatmentFinishDate>9999-12-31T23:59:59.997+02:00</TreatmentFinishDate>
            <IdentificationCardNumber>056479827</IdentificationCardNumber>
            <DisplayName>חננאל שרעבי</DisplayName>
            <JudicialTypeName>הרכב שופטים</JudicialTypeName>
            <CaseJudicialGroupNumber>580672</CaseJudicialGroupNumber>
            <FirstName>חננאל</FirstName>
            <LastName>שרעבי</LastName>
            <JudicialPersonTitle>שופט</JudicialPersonTitle>
          </CaseJudicalPersonActive>
          <CaseJudicalPersonActive>
            <CaseID>81238335</CaseID>
            <JudicialPersonID>057955775@GOV.IL</JudicialPersonID>
            <JudicialPersonTypeID>1</JudicialPersonTypeID>
            <JudicialTypeID>3</JudicialTypeID>
            <IsChairman>false</IsChairman>
            <TreatmentStartDate>2024-05-21T14:33:50.357+03:00</TreatmentStartDate>
            <TreatmentFinishDate>9999-12-31T23:59:59.997+02:00</TreatmentFinishDate>
            <IdentificationCardNumber>057955775</IdentificationCardNumber>
            <DisplayName>אספרנצה אלון</DisplayName>
            <JudicialTypeName>הרכב שופטים</JudicialTypeName>
            <CaseJudicialGroupNumber>580672</CaseJudicialGroupNumber>
            <FirstName>אספרנצה</FirstName>
            <LastName>אלון</LastName>
            <JudicialPersonTitle>שופט</JudicialPersonTitle>
          </CaseJudicalPersonActive>
          <CaseJudicalPersonActive>
            <CaseID>81238335</CaseID>
            <JudicialPersonID>058677980@GOV.IL</JudicialPersonID>
            <JudicialPersonTypeID>1</JudicialPersonTypeID>
            <JudicialTypeID>3</JudicialTypeID>
            <IsChairman>false</IsChairman>
            <TreatmentStartDate>2024-05-21T14:33:50.357+03:00</TreatmentStartDate>
            <TreatmentFinishDate>9999-12-31T23:59:59.997+02:00</TreatmentFinishDate>
            <IdentificationCardNumber>058677980</IdentificationCardNumber>
            <DisplayName>אריה נאמן</DisplayName>
            <JudicialTypeName>הרכב שופטים</JudicialTypeName>
            <CaseJudicialGroupNumber>580672</CaseJudicialGroupNumber>
            <FirstName>אריה</FirstName>
            <LastName>נאמן</LastName>
            <JudicialPersonTitle>שופט</JudicialPersonTitle>
          </CaseJudicalPersonActive>
        </CaseJudicialPersonPresentationDS>
        <CasePartyID>270320367</CasePartyID>
        <PartyTypeID>1</PartyTypeID>
        <ActivityStatusID>1</ActivityStatusID>
        <PartyAliasID>5</PartyAliasID>
        <PartyAliasName>מערער</PartyAliasName>
        <OrdinalNumber>1</OrdinalNumber>
        <LegalEntityID>7532729</LegalEntityID>
        <CaseLegalEntityID>128927320</CaseLegalEntityID>
        <AuthenticationTypeID>1</AuthenticationTypeID>
        <AuthenticationTypeName>ת"ז</AuthenticationTypeName>
        <LegalEntityNumber>304316706</LegalEntityNumber>
        <IsMainPartyType>true</IsMainPartyType>
        <CaseDisplayIdentifier>45865-05-24</CaseDisplayIdentifier>
        <CaseTypeID>63</CaseTypeID>
        <CaseTypeName>ערעור משפחה (עמ"ש)</CaseTypeName>
        <CaseName>רודל נ' סרצקי</CaseName>
        <FullAddress>זלמן שניאור 1 דירה 5 חיפה </FullAddress>
        <MotionID>0</MotionID>
        <CasePleaID>0</CasePleaID>
        <FatherName>מיכאיל</FatherName>
        <LinkedCaseID>0</LinkedCaseID>
        <PartyID>1</PartyID>
        <CasePartyCategoryID>2</CasePartyCategoryID>
        <LegalEntityAddressID>89316430</LegalEntityAddressID>
        <PleaTypeID>6</PleaTypeID>
        <GroupPartyAlias>מערערים</GroupPartyAlias>
        <IsConverted>false</IsConverted>
        <LegalEntityRegisteredNameID>4832105</LegalEntityRegisteredNameID>
        <LegalEntityNameID>91253118</LegalEntityNameID>
        <RepresentatedNamesOfAssistant/>
        <LegalEntityTypeID>1</LegalEntityTypeID>
        <IsVerdictExists>false</IsVerdictExists>
        <IsAsirAzir>false</IsAsirAzir>
        <MainAndSecSpec/>
        <IsPublicationProhibited>false</IsPublicationProhibited>
        <PublicationProhibitedFullName>בוריס רודל</PublicationProhibitedFullName>
      </CaseParties>
      <CaseParties>
        <PartyTypeName>צד</PartyTypeName>
        <ProceedingType>כתב טענות עיקרי</ProceedingType>
        <PleaName>הודעת ערעור</PleaName>
        <PartyBelonging>צד ב'</PartyBelonging>
        <RoleName>משיב 1 - תובע</RoleName>
        <IsSubProceeding>FALSE</IsSubProceeding>
        <FullName>לריסה סרצקי</FullName>
        <FirstName>לריסה</FirstName>
        <LastName>סרצקי</LastName>
        <PartyPropertyName/>
        <AuthenticationTypeAndNumber>ת"ז 314527136</AuthenticationTypeAndNumber>
        <RepresentatedOrRepresentativesNames>מקסים ליפקין</RepresentatedOrRepresentativesNames>
        <RepresentatedOrRepresentativesCount>1</RepresentatedOrRepresentativesCount>
        <InvitedBy/>
        <CaseID>81238335</CaseID>
        <CaseJudicialPersonPresentationDS>
          <CaseJudicalPersonActive>
            <CaseID>81238335</CaseID>
            <JudicialPersonID>056479827@GOV.IL</JudicialPersonID>
            <JudicialPersonTypeID>1</JudicialPersonTypeID>
            <JudicialTypeID>3</JudicialTypeID>
            <IsChairman>true</IsChairman>
            <TreatmentStartDate>2024-05-21T14:33:50.357+03:00</TreatmentStartDate>
            <TreatmentFinishDate>9999-12-31T23:59:59.997+02:00</TreatmentFinishDate>
            <IdentificationCardNumber>056479827</IdentificationCardNumber>
            <DisplayName>חננאל שרעבי</DisplayName>
            <JudicialTypeName>הרכב שופטים</JudicialTypeName>
            <CaseJudicialGroupNumber>580672</CaseJudicialGroupNumber>
            <FirstName>חננאל</FirstName>
            <LastName>שרעבי</LastName>
            <JudicialPersonTitle>שופט</JudicialPersonTitle>
          </CaseJudicalPersonActive>
          <CaseJudicalPersonActive>
            <CaseID>81238335</CaseID>
            <JudicialPersonID>057955775@GOV.IL</JudicialPersonID>
            <JudicialPersonTypeID>1</JudicialPersonTypeID>
            <JudicialTypeID>3</JudicialTypeID>
            <IsChairman>false</IsChairman>
            <TreatmentStartDate>2024-05-21T14:33:50.357+03:00</TreatmentStartDate>
            <TreatmentFinishDate>9999-12-31T23:59:59.997+02:00</TreatmentFinishDate>
            <IdentificationCardNumber>057955775</IdentificationCardNumber>
            <DisplayName>אספרנצה אלון</DisplayName>
            <JudicialTypeName>הרכב שופטים</JudicialTypeName>
            <CaseJudicialGroupNumber>580672</CaseJudicialGroupNumber>
            <FirstName>אספרנצה</FirstName>
            <LastName>אלון</LastName>
            <JudicialPersonTitle>שופט</JudicialPersonTitle>
          </CaseJudicalPersonActive>
          <CaseJudicalPersonActive>
            <CaseID>81238335</CaseID>
            <JudicialPersonID>058677980@GOV.IL</JudicialPersonID>
            <JudicialPersonTypeID>1</JudicialPersonTypeID>
            <JudicialTypeID>3</JudicialTypeID>
            <IsChairman>false</IsChairman>
            <TreatmentStartDate>2024-05-21T14:33:50.357+03:00</TreatmentStartDate>
            <TreatmentFinishDate>9999-12-31T23:59:59.997+02:00</TreatmentFinishDate>
            <IdentificationCardNumber>058677980</IdentificationCardNumber>
            <DisplayName>אריה נאמן</DisplayName>
            <JudicialTypeName>הרכב שופטים</JudicialTypeName>
            <CaseJudicialGroupNumber>580672</CaseJudicialGroupNumber>
            <FirstName>אריה</FirstName>
            <LastName>נאמן</LastName>
            <JudicialPersonTitle>שופט</JudicialPersonTitle>
          </CaseJudicalPersonActive>
        </CaseJudicialPersonPresentationDS>
        <CasePartyID>270320368</CasePartyID>
        <PartyTypeID>1</PartyTypeID>
        <ActivityStatusID>1</ActivityStatusID>
        <PartyAliasID>4</PartyAliasID>
        <PartyAliasName>משיב</PartyAliasName>
        <OrdinalNumber>1</OrdinalNumber>
        <LegalEntityID>7532728</LegalEntityID>
        <CaseLegalEntityID>128927321</CaseLegalEntityID>
        <AuthenticationTypeID>1</AuthenticationTypeID>
        <AuthenticationTypeName>ת"ז</AuthenticationTypeName>
        <LegalEntityNumber>314527136</LegalEntityNumber>
        <IsMainPartyType>true</IsMainPartyType>
        <CaseDisplayIdentifier>45865-05-24</CaseDisplayIdentifier>
        <CaseTypeID>63</CaseTypeID>
        <CaseTypeName>ערעור משפחה (עמ"ש)</CaseTypeName>
        <CaseName>רודל נ' סרצקי</CaseName>
        <FullAddress>יצחק שמיר 12 דירה 77 טירת כרמל </FullAddress>
        <MotionID>0</MotionID>
        <CasePleaID>0</CasePleaID>
        <FatherName>אלכסנדר</FatherName>
        <LinkedCaseID>0</LinkedCaseID>
        <PartyID>2</PartyID>
        <CasePartyCategoryID>2</CasePartyCategoryID>
        <LegalEntityAddressID>89316438</LegalEntityAddressID>
        <PleaTypeID>6</PleaTypeID>
        <GroupPartyAlias>משיבים</GroupPartyAlias>
        <IsConverted>false</IsConverted>
        <LegalEntityRegisteredNameID>5813141</LegalEntityRegisteredNameID>
        <LegalEntityNameID>91253117</LegalEntityNameID>
        <RepresentatedNamesOfAssistant/>
        <LegalEntityTypeID>1</LegalEntityTypeID>
        <IsVerdictExists>false</IsVerdictExists>
        <IsAsirAzir>false</IsAsirAzir>
        <MainAndSecSpec/>
        <IsPublicationProhibited>false</IsPublicationProhibited>
        <PublicationProhibitedFullName>לריסה סרצקי</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true</IsCaseJudgePanel>
    <DecisionSignatureDate>2024-11-14T08:13:36.6570593+02:00</DecisionSignatureDate>
    <OpenCaseDate>2024-05-19T16:08:00+03:00</OpenCaseDate>
    <CaseFeeSum>0.000</CaseFeeSum>
    <DecisionTypeID>2</DecisionTypeID>
    <DecisionSignatureUserName>חננאל שרעבי</DecisionSignatureUserName>
    <DecisionSignatureDateHebrew>2024-11-14T08:13:36.6570593+02:00</DecisionSignatureDateHebrew>
    <DecisionWriterID>056479827@GOV.IL</DecisionWriterID>
    <CourtAddress>רח' פלי"ם 12 היכל המשפט, חיפה 33095</CourtAddress>
    <IsAutoTextInCaseExist>true</IsAutoTextInCaseExist>
    <DecisionSignatureRoleName>שופט</DecisionSignatureRoleName>
    <DecisionSignatureUserTitleName>שופט</DecisionSignatureUserTitleName>
    <CaseName>רודל נ' סרצקי</CaseName>
    <DecisionNumberInCase>8</DecisionNumberInCase>
  </dt_Decision>
  <dt_DecisionCase>
    <DecisionID>0</DecisionID>
    <CaseID>81238335</CaseID>
    <CaseJudicialPersonPresentationDS>
      <CaseJudicalPersonActive>
        <CaseID>81238335</CaseID>
        <JudicialPersonID>056479827@GOV.IL</JudicialPersonID>
        <JudicialPersonTypeID>1</JudicialPersonTypeID>
        <JudicialTypeID>3</JudicialTypeID>
        <IsChairman>true</IsChairman>
        <TreatmentStartDate>2024-05-21T14:33:50.357+03:00</TreatmentStartDate>
        <TreatmentFinishDate>9999-12-31T23:59:59.997+02:00</TreatmentFinishDate>
        <IdentificationCardNumber>056479827</IdentificationCardNumber>
        <DisplayName>חננאל שרעבי</DisplayName>
        <JudicialTypeName>הרכב שופטים</JudicialTypeName>
        <CaseJudicialGroupNumber>580672</CaseJudicialGroupNumber>
        <FirstName>חננאל</FirstName>
        <LastName>שרעבי</LastName>
        <JudicialPersonTitle>שופט</JudicialPersonTitle>
      </CaseJudicalPersonActive>
      <CaseJudicalPersonActive>
        <CaseID>81238335</CaseID>
        <JudicialPersonID>057955775@GOV.IL</JudicialPersonID>
        <JudicialPersonTypeID>1</JudicialPersonTypeID>
        <JudicialTypeID>3</JudicialTypeID>
        <IsChairman>false</IsChairman>
        <TreatmentStartDate>2024-05-21T14:33:50.357+03:00</TreatmentStartDate>
        <TreatmentFinishDate>9999-12-31T23:59:59.997+02:00</TreatmentFinishDate>
        <IdentificationCardNumber>057955775</IdentificationCardNumber>
        <DisplayName>אספרנצה אלון</DisplayName>
        <JudicialTypeName>הרכב שופטים</JudicialTypeName>
        <CaseJudicialGroupNumber>580672</CaseJudicialGroupNumber>
        <FirstName>אספרנצה</FirstName>
        <LastName>אלון</LastName>
        <JudicialPersonTitle>שופט</JudicialPersonTitle>
      </CaseJudicalPersonActive>
      <CaseJudicalPersonActive>
        <CaseID>81238335</CaseID>
        <JudicialPersonID>058677980@GOV.IL</JudicialPersonID>
        <JudicialPersonTypeID>1</JudicialPersonTypeID>
        <JudicialTypeID>3</JudicialTypeID>
        <IsChairman>false</IsChairman>
        <TreatmentStartDate>2024-05-21T14:33:50.357+03:00</TreatmentStartDate>
        <TreatmentFinishDate>9999-12-31T23:59:59.997+02:00</TreatmentFinishDate>
        <IdentificationCardNumber>058677980</IdentificationCardNumber>
        <DisplayName>אריה נאמן</DisplayName>
        <JudicialTypeName>הרכב שופטים</JudicialTypeName>
        <CaseJudicialGroupNumber>580672</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מקסים ליפקין</FullName>
        <FirstName>מקסים</FirstName>
        <LastName>ליפקין</LastName>
        <PartyPropertyName/>
        <AuthenticationTypeAndNumber>מ.ר. 24518</AuthenticationTypeAndNumber>
        <RepresentatedOrRepresentativesNames>לריסה סרצקי</RepresentatedOrRepresentativesNames>
        <RepresentatedOrRepresentativesCount>1</RepresentatedOrRepresentativesCount>
        <InvitedBy/>
        <CaseID>81238335</CaseID>
        <CaseJudicialPersonPresentationDS>
          <CaseJudicalPersonActive>
            <CaseID>81238335</CaseID>
            <JudicialPersonID>056479827@GOV.IL</JudicialPersonID>
            <JudicialPersonTypeID>1</JudicialPersonTypeID>
            <JudicialTypeID>3</JudicialTypeID>
            <IsChairman>true</IsChairman>
            <TreatmentStartDate>2024-05-21T14:33:50.357+03:00</TreatmentStartDate>
            <TreatmentFinishDate>9999-12-31T23:59:59.997+02:00</TreatmentFinishDate>
            <IdentificationCardNumber>056479827</IdentificationCardNumber>
            <DisplayName>חננאל שרעבי</DisplayName>
            <JudicialTypeName>הרכב שופטים</JudicialTypeName>
            <CaseJudicialGroupNumber>580672</CaseJudicialGroupNumber>
            <FirstName>חננאל</FirstName>
            <LastName>שרעבי</LastName>
            <JudicialPersonTitle>שופט</JudicialPersonTitle>
          </CaseJudicalPersonActive>
          <CaseJudicalPersonActive>
            <CaseID>81238335</CaseID>
            <JudicialPersonID>057955775@GOV.IL</JudicialPersonID>
            <JudicialPersonTypeID>1</JudicialPersonTypeID>
            <JudicialTypeID>3</JudicialTypeID>
            <IsChairman>false</IsChairman>
            <TreatmentStartDate>2024-05-21T14:33:50.357+03:00</TreatmentStartDate>
            <TreatmentFinishDate>9999-12-31T23:59:59.997+02:00</TreatmentFinishDate>
            <IdentificationCardNumber>057955775</IdentificationCardNumber>
            <DisplayName>אספרנצה אלון</DisplayName>
            <JudicialTypeName>הרכב שופטים</JudicialTypeName>
            <CaseJudicialGroupNumber>580672</CaseJudicialGroupNumber>
            <FirstName>אספרנצה</FirstName>
            <LastName>אלון</LastName>
            <JudicialPersonTitle>שופט</JudicialPersonTitle>
          </CaseJudicalPersonActive>
          <CaseJudicalPersonActive>
            <CaseID>81238335</CaseID>
            <JudicialPersonID>058677980@GOV.IL</JudicialPersonID>
            <JudicialPersonTypeID>1</JudicialPersonTypeID>
            <JudicialTypeID>3</JudicialTypeID>
            <IsChairman>false</IsChairman>
            <TreatmentStartDate>2024-05-21T14:33:50.357+03:00</TreatmentStartDate>
            <TreatmentFinishDate>9999-12-31T23:59:59.997+02:00</TreatmentFinishDate>
            <IdentificationCardNumber>058677980</IdentificationCardNumber>
            <DisplayName>אריה נאמן</DisplayName>
            <JudicialTypeName>הרכב שופטים</JudicialTypeName>
            <CaseJudicialGroupNumber>580672</CaseJudicialGroupNumber>
            <FirstName>אריה</FirstName>
            <LastName>נאמן</LastName>
            <JudicialPersonTitle>שופט</JudicialPersonTitle>
          </CaseJudicalPersonActive>
        </CaseJudicialPersonPresentationDS>
        <CasePartyID>271064541</CasePartyID>
        <PartyTypeID>2</PartyTypeID>
        <ActivityStatusID>1</ActivityStatusID>
        <PartyAliasID>23</PartyAliasID>
        <PartyAliasName>בא כוח משיבים</PartyAliasName>
        <LegalEntityID>385014</LegalEntityID>
        <CaseLegalEntityID>129150801</CaseLegalEntityID>
        <AuthenticationTypeID>4</AuthenticationTypeID>
        <AuthenticationTypeName>מ.ר.</AuthenticationTypeName>
        <LegalEntityNumber>24518</LegalEntityNumber>
        <IsMainPartyType>true</IsMainPartyType>
        <CaseDisplayIdentifier>45865-05-24</CaseDisplayIdentifier>
        <CaseTypeID>63</CaseTypeID>
        <CaseTypeName>ערעור משפחה (עמ"ש)</CaseTypeName>
        <CaseName>רודל נ' סרצקי</CaseName>
        <FullAddress>דיזינגוף 50 תל אביב -יפו קומה 21</FullAddress>
        <EmailAddress>lipkin.lipkin1@gmail.com</EmailAddress>
        <MotionID>0</MotionID>
        <CasePleaID>0</CasePleaID>
        <FatherName xml:space="preserve">        </FatherName>
        <LinkedCaseID>0</LinkedCaseID>
        <PartyID>2</PartyID>
        <CasePartyCategoryID>2</CasePartyCategoryID>
        <LegalEntityAddressID>79954161</LegalEntityAddressID>
        <LegalEntityEmailAddressID>68077548</LegalEntityEmailAddressID>
        <PleaTypeID>6</PleaTypeID>
        <LawyerOfficeName>משרד עו"ד:ליפקין את ליפקין</LawyerOfficeName>
        <LawyerOfficeID>448455</LawyerOfficeID>
        <GroupPartyAlias/>
        <IsConverted>false</IsConverted>
        <LegalEntityNameID>5998</LegalEntityNameID>
        <RepresentatedNamesOfAssistant/>
        <LegalEntityTypeID>4</LegalEntityTypeID>
        <IsVerdictExists>false</IsVerdictExists>
        <IsAsirAzir>false</IsAsirAzir>
        <MainAndSecSpec/>
        <IsPublicationProhibited>false</IsPublicationProhibited>
        <PublicationProhibitedFullName>מקסים ליפקין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מירב כהן</FullName>
        <FirstName>מירב</FirstName>
        <LastName>כהן</LastName>
        <PartyPropertyName/>
        <AuthenticationTypeAndNumber>מ.ר. 31310</AuthenticationTypeAndNumber>
        <RepresentatedOrRepresentativesNames>בוריס רודל</RepresentatedOrRepresentativesNames>
        <RepresentatedOrRepresentativesCount>1</RepresentatedOrRepresentativesCount>
        <InvitedBy/>
        <CaseID>81238335</CaseID>
        <CaseJudicialPersonPresentationDS>
          <CaseJudicalPersonActive>
            <CaseID>81238335</CaseID>
            <JudicialPersonID>056479827@GOV.IL</JudicialPersonID>
            <JudicialPersonTypeID>1</JudicialPersonTypeID>
            <JudicialTypeID>3</JudicialTypeID>
            <IsChairman>true</IsChairman>
            <TreatmentStartDate>2024-05-21T14:33:50.357+03:00</TreatmentStartDate>
            <TreatmentFinishDate>9999-12-31T23:59:59.997+02:00</TreatmentFinishDate>
            <IdentificationCardNumber>056479827</IdentificationCardNumber>
            <DisplayName>חננאל שרעבי</DisplayName>
            <JudicialTypeName>הרכב שופטים</JudicialTypeName>
            <CaseJudicialGroupNumber>580672</CaseJudicialGroupNumber>
            <FirstName>חננאל</FirstName>
            <LastName>שרעבי</LastName>
            <JudicialPersonTitle>שופט</JudicialPersonTitle>
          </CaseJudicalPersonActive>
          <CaseJudicalPersonActive>
            <CaseID>81238335</CaseID>
            <JudicialPersonID>057955775@GOV.IL</JudicialPersonID>
            <JudicialPersonTypeID>1</JudicialPersonTypeID>
            <JudicialTypeID>3</JudicialTypeID>
            <IsChairman>false</IsChairman>
            <TreatmentStartDate>2024-05-21T14:33:50.357+03:00</TreatmentStartDate>
            <TreatmentFinishDate>9999-12-31T23:59:59.997+02:00</TreatmentFinishDate>
            <IdentificationCardNumber>057955775</IdentificationCardNumber>
            <DisplayName>אספרנצה אלון</DisplayName>
            <JudicialTypeName>הרכב שופטים</JudicialTypeName>
            <CaseJudicialGroupNumber>580672</CaseJudicialGroupNumber>
            <FirstName>אספרנצה</FirstName>
            <LastName>אלון</LastName>
            <JudicialPersonTitle>שופט</JudicialPersonTitle>
          </CaseJudicalPersonActive>
          <CaseJudicalPersonActive>
            <CaseID>81238335</CaseID>
            <JudicialPersonID>058677980@GOV.IL</JudicialPersonID>
            <JudicialPersonTypeID>1</JudicialPersonTypeID>
            <JudicialTypeID>3</JudicialTypeID>
            <IsChairman>false</IsChairman>
            <TreatmentStartDate>2024-05-21T14:33:50.357+03:00</TreatmentStartDate>
            <TreatmentFinishDate>9999-12-31T23:59:59.997+02:00</TreatmentFinishDate>
            <IdentificationCardNumber>058677980</IdentificationCardNumber>
            <DisplayName>אריה נאמן</DisplayName>
            <JudicialTypeName>הרכב שופטים</JudicialTypeName>
            <CaseJudicialGroupNumber>580672</CaseJudicialGroupNumber>
            <FirstName>אריה</FirstName>
            <LastName>נאמן</LastName>
            <JudicialPersonTitle>שופט</JudicialPersonTitle>
          </CaseJudicalPersonActive>
        </CaseJudicialPersonPresentationDS>
        <CasePartyID>270320369</CasePartyID>
        <PartyTypeID>2</PartyTypeID>
        <ActivityStatusID>1</ActivityStatusID>
        <PartyAliasID>24</PartyAliasID>
        <PartyAliasName>בא כוח מערערים</PartyAliasName>
        <OrdinalNumber>1</OrdinalNumber>
        <LegalEntityID>408887</LegalEntityID>
        <CaseLegalEntityID>128927322</CaseLegalEntityID>
        <AuthenticationTypeID>4</AuthenticationTypeID>
        <AuthenticationTypeName>מ.ר.</AuthenticationTypeName>
        <LegalEntityNumber>31310</LegalEntityNumber>
        <IsMainPartyType>true</IsMainPartyType>
        <CaseDisplayIdentifier>45865-05-24</CaseDisplayIdentifier>
        <CaseTypeID>63</CaseTypeID>
        <CaseTypeName>ערעור משפחה (עמ"ש)</CaseTypeName>
        <CaseName>רודל נ' סרצקי</CaseName>
        <FullAddress>דרך עכו 14 קריית ביאליק </FullAddress>
        <MotionID>0</MotionID>
        <CasePleaID>0</CasePleaID>
        <LinkedCaseID>0</LinkedCaseID>
        <PartyID>1</PartyID>
        <CasePartyCategoryID>2</CasePartyCategoryID>
        <LegalEntityAddressID>451869</LegalEntityAddressID>
        <PleaTypeID>6</PleaTypeID>
        <LawyerOfficeName>משרד עו"ד: מירב כהן</LawyerOfficeName>
        <LawyerOfficeID>449531</LawyerOfficeID>
        <GroupPartyAlias/>
        <IsConverted>false</IsConverted>
        <LegalEntityNameID>29871</LegalEntityNameID>
        <RepresentatedNamesOfAssistant/>
        <LegalEntityTypeID>4</LegalEntityTypeID>
        <IsVerdictExists>false</IsVerdictExists>
        <IsAsirAzir>false</IsAsirAzir>
        <MainAndSecSpec/>
        <IsPublicationProhibited>false</IsPublicationProhibited>
        <PublicationProhibitedFullName>מירב כהן</PublicationProhibitedFullName>
      </CaseParties>
      <CaseParties>
        <PartyTypeName>צד</PartyTypeName>
        <ProceedingType>כתב טענות עיקרי</ProceedingType>
        <PleaName>הודעת ערעור</PleaName>
        <PartyBelonging>צד א'</PartyBelonging>
        <RoleName>מערער 1 - נתבע</RoleName>
        <IsSubProceeding>FALSE</IsSubProceeding>
        <FullName>בוריס רודל</FullName>
        <FirstName>בוריס</FirstName>
        <LastName>רודל</LastName>
        <PartyPropertyName/>
        <AuthenticationTypeAndNumber>ת"ז 304316706</AuthenticationTypeAndNumber>
        <RepresentatedOrRepresentativesNames>מירב כהן</RepresentatedOrRepresentativesNames>
        <RepresentatedOrRepresentativesCount>1</RepresentatedOrRepresentativesCount>
        <InvitedBy/>
        <CaseID>81238335</CaseID>
        <CaseJudicialPersonPresentationDS>
          <CaseJudicalPersonActive>
            <CaseID>81238335</CaseID>
            <JudicialPersonID>056479827@GOV.IL</JudicialPersonID>
            <JudicialPersonTypeID>1</JudicialPersonTypeID>
            <JudicialTypeID>3</JudicialTypeID>
            <IsChairman>true</IsChairman>
            <TreatmentStartDate>2024-05-21T14:33:50.357+03:00</TreatmentStartDate>
            <TreatmentFinishDate>9999-12-31T23:59:59.997+02:00</TreatmentFinishDate>
            <IdentificationCardNumber>056479827</IdentificationCardNumber>
            <DisplayName>חננאל שרעבי</DisplayName>
            <JudicialTypeName>הרכב שופטים</JudicialTypeName>
            <CaseJudicialGroupNumber>580672</CaseJudicialGroupNumber>
            <FirstName>חננאל</FirstName>
            <LastName>שרעבי</LastName>
            <JudicialPersonTitle>שופט</JudicialPersonTitle>
          </CaseJudicalPersonActive>
          <CaseJudicalPersonActive>
            <CaseID>81238335</CaseID>
            <JudicialPersonID>057955775@GOV.IL</JudicialPersonID>
            <JudicialPersonTypeID>1</JudicialPersonTypeID>
            <JudicialTypeID>3</JudicialTypeID>
            <IsChairman>false</IsChairman>
            <TreatmentStartDate>2024-05-21T14:33:50.357+03:00</TreatmentStartDate>
            <TreatmentFinishDate>9999-12-31T23:59:59.997+02:00</TreatmentFinishDate>
            <IdentificationCardNumber>057955775</IdentificationCardNumber>
            <DisplayName>אספרנצה אלון</DisplayName>
            <JudicialTypeName>הרכב שופטים</JudicialTypeName>
            <CaseJudicialGroupNumber>580672</CaseJudicialGroupNumber>
            <FirstName>אספרנצה</FirstName>
            <LastName>אלון</LastName>
            <JudicialPersonTitle>שופט</JudicialPersonTitle>
          </CaseJudicalPersonActive>
          <CaseJudicalPersonActive>
            <CaseID>81238335</CaseID>
            <JudicialPersonID>058677980@GOV.IL</JudicialPersonID>
            <JudicialPersonTypeID>1</JudicialPersonTypeID>
            <JudicialTypeID>3</JudicialTypeID>
            <IsChairman>false</IsChairman>
            <TreatmentStartDate>2024-05-21T14:33:50.357+03:00</TreatmentStartDate>
            <TreatmentFinishDate>9999-12-31T23:59:59.997+02:00</TreatmentFinishDate>
            <IdentificationCardNumber>058677980</IdentificationCardNumber>
            <DisplayName>אריה נאמן</DisplayName>
            <JudicialTypeName>הרכב שופטים</JudicialTypeName>
            <CaseJudicialGroupNumber>580672</CaseJudicialGroupNumber>
            <FirstName>אריה</FirstName>
            <LastName>נאמן</LastName>
            <JudicialPersonTitle>שופט</JudicialPersonTitle>
          </CaseJudicalPersonActive>
        </CaseJudicialPersonPresentationDS>
        <CasePartyID>270320367</CasePartyID>
        <PartyTypeID>1</PartyTypeID>
        <ActivityStatusID>1</ActivityStatusID>
        <PartyAliasID>5</PartyAliasID>
        <PartyAliasName>מערער</PartyAliasName>
        <OrdinalNumber>1</OrdinalNumber>
        <LegalEntityID>7532729</LegalEntityID>
        <CaseLegalEntityID>128927320</CaseLegalEntityID>
        <AuthenticationTypeID>1</AuthenticationTypeID>
        <AuthenticationTypeName>ת"ז</AuthenticationTypeName>
        <LegalEntityNumber>304316706</LegalEntityNumber>
        <IsMainPartyType>true</IsMainPartyType>
        <CaseDisplayIdentifier>45865-05-24</CaseDisplayIdentifier>
        <CaseTypeID>63</CaseTypeID>
        <CaseTypeName>ערעור משפחה (עמ"ש)</CaseTypeName>
        <CaseName>רודל נ' סרצקי</CaseName>
        <FullAddress>זלמן שניאור 1 דירה 5 חיפה </FullAddress>
        <MotionID>0</MotionID>
        <CasePleaID>0</CasePleaID>
        <FatherName>מיכאיל</FatherName>
        <LinkedCaseID>0</LinkedCaseID>
        <PartyID>1</PartyID>
        <CasePartyCategoryID>2</CasePartyCategoryID>
        <LegalEntityAddressID>89316430</LegalEntityAddressID>
        <PleaTypeID>6</PleaTypeID>
        <GroupPartyAlias>מערערים</GroupPartyAlias>
        <IsConverted>false</IsConverted>
        <LegalEntityRegisteredNameID>4832105</LegalEntityRegisteredNameID>
        <LegalEntityNameID>91253118</LegalEntityNameID>
        <RepresentatedNamesOfAssistant/>
        <LegalEntityTypeID>1</LegalEntityTypeID>
        <IsVerdictExists>false</IsVerdictExists>
        <IsAsirAzir>false</IsAsirAzir>
        <MainAndSecSpec/>
        <IsPublicationProhibited>false</IsPublicationProhibited>
        <PublicationProhibitedFullName>בוריס רודל</PublicationProhibitedFullName>
      </CaseParties>
      <CaseParties>
        <PartyTypeName>צד</PartyTypeName>
        <ProceedingType>כתב טענות עיקרי</ProceedingType>
        <PleaName>הודעת ערעור</PleaName>
        <PartyBelonging>צד ב'</PartyBelonging>
        <RoleName>משיב 1 - תובע</RoleName>
        <IsSubProceeding>FALSE</IsSubProceeding>
        <FullName>לריסה סרצקי</FullName>
        <FirstName>לריסה</FirstName>
        <LastName>סרצקי</LastName>
        <PartyPropertyName/>
        <AuthenticationTypeAndNumber>ת"ז 314527136</AuthenticationTypeAndNumber>
        <RepresentatedOrRepresentativesNames>מקסים ליפקין</RepresentatedOrRepresentativesNames>
        <RepresentatedOrRepresentativesCount>1</RepresentatedOrRepresentativesCount>
        <InvitedBy/>
        <CaseID>81238335</CaseID>
        <CaseJudicialPersonPresentationDS>
          <CaseJudicalPersonActive>
            <CaseID>81238335</CaseID>
            <JudicialPersonID>056479827@GOV.IL</JudicialPersonID>
            <JudicialPersonTypeID>1</JudicialPersonTypeID>
            <JudicialTypeID>3</JudicialTypeID>
            <IsChairman>true</IsChairman>
            <TreatmentStartDate>2024-05-21T14:33:50.357+03:00</TreatmentStartDate>
            <TreatmentFinishDate>9999-12-31T23:59:59.997+02:00</TreatmentFinishDate>
            <IdentificationCardNumber>056479827</IdentificationCardNumber>
            <DisplayName>חננאל שרעבי</DisplayName>
            <JudicialTypeName>הרכב שופטים</JudicialTypeName>
            <CaseJudicialGroupNumber>580672</CaseJudicialGroupNumber>
            <FirstName>חננאל</FirstName>
            <LastName>שרעבי</LastName>
            <JudicialPersonTitle>שופט</JudicialPersonTitle>
          </CaseJudicalPersonActive>
          <CaseJudicalPersonActive>
            <CaseID>81238335</CaseID>
            <JudicialPersonID>057955775@GOV.IL</JudicialPersonID>
            <JudicialPersonTypeID>1</JudicialPersonTypeID>
            <JudicialTypeID>3</JudicialTypeID>
            <IsChairman>false</IsChairman>
            <TreatmentStartDate>2024-05-21T14:33:50.357+03:00</TreatmentStartDate>
            <TreatmentFinishDate>9999-12-31T23:59:59.997+02:00</TreatmentFinishDate>
            <IdentificationCardNumber>057955775</IdentificationCardNumber>
            <DisplayName>אספרנצה אלון</DisplayName>
            <JudicialTypeName>הרכב שופטים</JudicialTypeName>
            <CaseJudicialGroupNumber>580672</CaseJudicialGroupNumber>
            <FirstName>אספרנצה</FirstName>
            <LastName>אלון</LastName>
            <JudicialPersonTitle>שופט</JudicialPersonTitle>
          </CaseJudicalPersonActive>
          <CaseJudicalPersonActive>
            <CaseID>81238335</CaseID>
            <JudicialPersonID>058677980@GOV.IL</JudicialPersonID>
            <JudicialPersonTypeID>1</JudicialPersonTypeID>
            <JudicialTypeID>3</JudicialTypeID>
            <IsChairman>false</IsChairman>
            <TreatmentStartDate>2024-05-21T14:33:50.357+03:00</TreatmentStartDate>
            <TreatmentFinishDate>9999-12-31T23:59:59.997+02:00</TreatmentFinishDate>
            <IdentificationCardNumber>058677980</IdentificationCardNumber>
            <DisplayName>אריה נאמן</DisplayName>
            <JudicialTypeName>הרכב שופטים</JudicialTypeName>
            <CaseJudicialGroupNumber>580672</CaseJudicialGroupNumber>
            <FirstName>אריה</FirstName>
            <LastName>נאמן</LastName>
            <JudicialPersonTitle>שופט</JudicialPersonTitle>
          </CaseJudicalPersonActive>
        </CaseJudicialPersonPresentationDS>
        <CasePartyID>270320368</CasePartyID>
        <PartyTypeID>1</PartyTypeID>
        <ActivityStatusID>1</ActivityStatusID>
        <PartyAliasID>4</PartyAliasID>
        <PartyAliasName>משיב</PartyAliasName>
        <OrdinalNumber>1</OrdinalNumber>
        <LegalEntityID>7532728</LegalEntityID>
        <CaseLegalEntityID>128927321</CaseLegalEntityID>
        <AuthenticationTypeID>1</AuthenticationTypeID>
        <AuthenticationTypeName>ת"ז</AuthenticationTypeName>
        <LegalEntityNumber>314527136</LegalEntityNumber>
        <IsMainPartyType>true</IsMainPartyType>
        <CaseDisplayIdentifier>45865-05-24</CaseDisplayIdentifier>
        <CaseTypeID>63</CaseTypeID>
        <CaseTypeName>ערעור משפחה (עמ"ש)</CaseTypeName>
        <CaseName>רודל נ' סרצקי</CaseName>
        <FullAddress>יצחק שמיר 12 דירה 77 טירת כרמל </FullAddress>
        <MotionID>0</MotionID>
        <CasePleaID>0</CasePleaID>
        <FatherName>אלכסנדר</FatherName>
        <LinkedCaseID>0</LinkedCaseID>
        <PartyID>2</PartyID>
        <CasePartyCategoryID>2</CasePartyCategoryID>
        <LegalEntityAddressID>89316438</LegalEntityAddressID>
        <PleaTypeID>6</PleaTypeID>
        <GroupPartyAlias>משיבים</GroupPartyAlias>
        <IsConverted>false</IsConverted>
        <LegalEntityRegisteredNameID>5813141</LegalEntityRegisteredNameID>
        <LegalEntityNameID>91253117</LegalEntityNameID>
        <RepresentatedNamesOfAssistant/>
        <LegalEntityTypeID>1</LegalEntityTypeID>
        <IsVerdictExists>false</IsVerdictExists>
        <IsAsirAzir>false</IsAsirAzir>
        <MainAndSecSpec/>
        <IsPublicationProhibited>false</IsPublicationProhibited>
        <PublicationProhibitedFullName>לריסה סרצקי</PublicationProhibitedFullName>
      </CaseParties>
    </CasePartiesSelectionDS>
    <CaseName>רודל נ' סרצקי</CaseName>
    <CaseDisplayIdentifier>45865-05-24</CaseDisplayIdentifier>
    <CaseInterestID>10514</CaseInterestID>
    <CaseTypeShortName>עמ"ש</CaseTypeShortName>
  </dt_DecisionCase>
  <dt_DecisionJudgePanel>
    <JudgeID>056479827@GOV.IL</JudgeID>
    <DisplayName>שרעבי</DisplayName>
    <RoleName>שופט</RoleName>
    <UserTitleName>שופט</UserTitleName>
  </dt_DecisionJudgePanel>
  <dt_DecisionJudgePanel>
    <JudgeID>057955775@GOV.IL</JudgeID>
    <DisplayName>אלון</DisplayName>
    <RoleName>שופט</RoleName>
    <UserTitleName>שופטת</UserTitleName>
  </dt_DecisionJudgePanel>
  <dt_DecisionJudgePanel>
    <JudgeID>058677980@GOV.IL</JudgeID>
    <DisplayName>נאמן</DisplayName>
    <RoleName>שופט</RoleName>
    <UserTitleName>שופט</UserTitleName>
  </dt_DecisionJudgePanel>
  <dt_LegalEntityDetails>
    <Fax>03-5274444</Fax>
    <Phone>03-5247777</Phone>
    <AddressDesc>קומה 21</AddressDesc>
    <PartyID>2</PartyID>
    <PartyTypeID>2</PartyTypeID>
    <DecisionID>0</DecisionID>
    <StreetName>דיזינגוף 50</StreetName>
    <ZipCode>64322</ZipCode>
    <CityName>תל אביב -יפו</CityName>
    <FullName>מקסים ליפקין</FullName>
    <Email>lipkin.lipkin1@gmail.com</Email>
    <IsPublicationProhibited>false</IsPublicationProhibited>
  </dt_LegalEntityDetails>
  <dt_LegalEntityDetails>
    <PartyID>1</PartyID>
    <PartyTypeID>1</PartyTypeID>
    <DecisionID>0</DecisionID>
    <StreetName>זלמן שניאור 1 דירה 5</StreetName>
    <CityName>חיפה</CityName>
    <FullName>בוריס רודל</FullName>
    <IsPublicationProhibited>false</IsPublicationProhibited>
  </dt_LegalEntityDetails>
  <dt_LegalEntityDetails>
    <PartyID>2</PartyID>
    <PartyTypeID>1</PartyTypeID>
    <DecisionID>0</DecisionID>
    <StreetName>יצחק שמיר 12 דירה 77</StreetName>
    <CityName>טירת כרמל</CityName>
    <FullName>לריסה סרצקי</FullName>
    <IsPublicationProhibited>false</IsPublicationProhibited>
  </dt_LegalEntityDetails>
  <dt_LegalEntityDetails>
    <Fax>04-8732199</Fax>
    <Phone>04-8732119</Phone>
    <PartyID>1</PartyID>
    <PartyTypeID>2</PartyTypeID>
    <DecisionID>0</DecisionID>
    <StreetName>דרך עכו 14</StreetName>
    <ZipCode>27093</ZipCode>
    <CityName>קריית ביאליק</CityName>
    <FullName>מירב כהן</FullName>
    <IsPublicationProhibited>false</IsPublicationProhibited>
  </dt_LegalEntityDetails>
  <dt_CaseJudicalPersonActive>
    <CaseJudicalPerson>שופט חננאל שרעבי, שופטת אספרנצה אלון, שופט אריה נאמן</CaseJudicalPerson>
  </dt_CaseJudicalPersonActive>
  <dt_Sitting>
    <PreviousMeetingDate>2024-10-28T09:30:00+02:00</PreviousMeetingDate>
    <PreviousSittingTypeID>5</PreviousSittingTypeID>
    <PreviousMeetingDisplayName>חננאל שרעבי, אספרנצה אלון, אריה נאמן</PreviousMeetingDisplayName>
    <PreviousMeetingUserUPN>056479827@GOV.IL, 057955775@GOV.IL, 058677980@GOV.IL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BBAA1-B6DB-4AED-A9F5-273BC3E9984C}">
  <ds:schemaRefs/>
</ds:datastoreItem>
</file>

<file path=customXml/itemProps2.xml><?xml version="1.0" encoding="utf-8"?>
<ds:datastoreItem xmlns:ds="http://schemas.openxmlformats.org/officeDocument/2006/customXml" ds:itemID="{C5B5505C-834E-48F2-8F2E-47064D0C6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8971</Words>
  <Characters>44856</Characters>
  <Application>Microsoft Office Word</Application>
  <DocSecurity>0</DocSecurity>
  <Lines>373</Lines>
  <Paragraphs>107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2024-11-25T09:31:00Z</dcterms:created>
  <dcterms:modified xsi:type="dcterms:W3CDTF">2024-11-25T09:31:00Z</dcterms:modified>
</cp:coreProperties>
</file>